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855E4C">
      <w:pPr>
        <w:jc w:val="left"/>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附件2</w:t>
      </w:r>
    </w:p>
    <w:tbl>
      <w:tblPr>
        <w:tblStyle w:val="7"/>
        <w:tblpPr w:leftFromText="180" w:rightFromText="180" w:vertAnchor="page" w:horzAnchor="page" w:tblpX="1575" w:tblpY="2178"/>
        <w:tblOverlap w:val="never"/>
        <w:tblW w:w="87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0"/>
        <w:gridCol w:w="7820"/>
      </w:tblGrid>
      <w:tr w14:paraId="7AA02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0" w:type="dxa"/>
          </w:tcPr>
          <w:p w14:paraId="1A8DF8D2">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Theme="majorEastAsia" w:hAnsiTheme="majorEastAsia" w:eastAsiaTheme="majorEastAsia" w:cstheme="majorEastAsia"/>
                <w:sz w:val="28"/>
                <w:szCs w:val="28"/>
                <w:vertAlign w:val="baseline"/>
                <w:lang w:val="en-US" w:eastAsia="zh-CN"/>
              </w:rPr>
            </w:pPr>
            <w:r>
              <w:rPr>
                <w:rFonts w:hint="eastAsia" w:asciiTheme="majorEastAsia" w:hAnsiTheme="majorEastAsia" w:eastAsiaTheme="majorEastAsia" w:cstheme="majorEastAsia"/>
                <w:sz w:val="28"/>
                <w:szCs w:val="28"/>
                <w:vertAlign w:val="baseline"/>
                <w:lang w:val="en-US" w:eastAsia="zh-CN"/>
              </w:rPr>
              <w:t>采购需 求</w:t>
            </w:r>
          </w:p>
        </w:tc>
        <w:tc>
          <w:tcPr>
            <w:tcW w:w="7820" w:type="dxa"/>
            <w:vAlign w:val="center"/>
          </w:tcPr>
          <w:p w14:paraId="1C40D071">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420" w:leftChars="0" w:right="0" w:rightChars="0"/>
              <w:jc w:val="center"/>
              <w:rPr>
                <w:rFonts w:hint="eastAsia" w:asciiTheme="majorEastAsia" w:hAnsiTheme="majorEastAsia" w:eastAsiaTheme="majorEastAsia" w:cstheme="majorEastAsia"/>
                <w:sz w:val="28"/>
                <w:szCs w:val="28"/>
                <w:vertAlign w:val="baseline"/>
              </w:rPr>
            </w:pPr>
            <w:r>
              <w:rPr>
                <w:rFonts w:hint="eastAsia" w:asciiTheme="majorEastAsia" w:hAnsiTheme="majorEastAsia" w:eastAsiaTheme="majorEastAsia" w:cstheme="majorEastAsia"/>
                <w:sz w:val="32"/>
                <w:szCs w:val="32"/>
                <w:vertAlign w:val="baseline"/>
                <w:lang w:val="en-US" w:eastAsia="zh-CN"/>
              </w:rPr>
              <w:t>医院特殊检验和病理标本外送检测服务</w:t>
            </w:r>
          </w:p>
        </w:tc>
      </w:tr>
      <w:tr w14:paraId="6308B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970" w:type="dxa"/>
            <w:vAlign w:val="center"/>
          </w:tcPr>
          <w:p w14:paraId="36B249A7">
            <w:pPr>
              <w:keepNext w:val="0"/>
              <w:keepLines w:val="0"/>
              <w:pageBreakBefore w:val="0"/>
              <w:widowControl w:val="0"/>
              <w:kinsoku/>
              <w:wordWrap/>
              <w:overflowPunct/>
              <w:topLinePunct w:val="0"/>
              <w:autoSpaceDE/>
              <w:autoSpaceDN/>
              <w:bidi w:val="0"/>
              <w:adjustRightInd/>
              <w:snapToGrid/>
              <w:spacing w:line="586" w:lineRule="exact"/>
              <w:jc w:val="center"/>
              <w:textAlignment w:val="auto"/>
              <w:rPr>
                <w:rFonts w:hint="default" w:asciiTheme="majorEastAsia" w:hAnsiTheme="majorEastAsia" w:eastAsiaTheme="majorEastAsia" w:cstheme="majorEastAsia"/>
                <w:sz w:val="28"/>
                <w:szCs w:val="28"/>
                <w:vertAlign w:val="baseline"/>
                <w:lang w:val="en-US" w:eastAsia="zh-CN"/>
              </w:rPr>
            </w:pPr>
            <w:r>
              <w:rPr>
                <w:rFonts w:hint="eastAsia" w:asciiTheme="majorEastAsia" w:hAnsiTheme="majorEastAsia" w:eastAsiaTheme="majorEastAsia" w:cstheme="majorEastAsia"/>
                <w:sz w:val="28"/>
                <w:szCs w:val="28"/>
                <w:vertAlign w:val="baseline"/>
                <w:lang w:val="en-US" w:eastAsia="zh-CN"/>
              </w:rPr>
              <w:t>采购需求</w:t>
            </w:r>
            <w:bookmarkStart w:id="0" w:name="_GoBack"/>
            <w:bookmarkEnd w:id="0"/>
          </w:p>
        </w:tc>
        <w:tc>
          <w:tcPr>
            <w:tcW w:w="7820" w:type="dxa"/>
          </w:tcPr>
          <w:p w14:paraId="73043237">
            <w:pPr>
              <w:pStyle w:val="3"/>
              <w:keepNext w:val="0"/>
              <w:keepLines w:val="0"/>
              <w:pageBreakBefore w:val="0"/>
              <w:widowControl w:val="0"/>
              <w:numPr>
                <w:ilvl w:val="0"/>
                <w:numId w:val="1"/>
              </w:numPr>
              <w:kinsoku/>
              <w:wordWrap/>
              <w:overflowPunct/>
              <w:topLinePunct w:val="0"/>
              <w:autoSpaceDE/>
              <w:autoSpaceDN/>
              <w:bidi w:val="0"/>
              <w:adjustRightInd/>
              <w:snapToGrid/>
              <w:spacing w:line="586" w:lineRule="exact"/>
              <w:textAlignment w:val="auto"/>
              <w:rPr>
                <w:rFonts w:hint="eastAsia" w:asciiTheme="majorEastAsia" w:hAnsiTheme="majorEastAsia" w:eastAsiaTheme="majorEastAsia" w:cstheme="majorEastAsia"/>
                <w:b w:val="0"/>
                <w:bCs w:val="0"/>
                <w:sz w:val="28"/>
                <w:szCs w:val="28"/>
                <w:lang w:val="en-US" w:eastAsia="zh-CN"/>
              </w:rPr>
            </w:pPr>
            <w:r>
              <w:rPr>
                <w:rFonts w:hint="eastAsia" w:asciiTheme="majorEastAsia" w:hAnsiTheme="majorEastAsia" w:eastAsiaTheme="majorEastAsia" w:cstheme="majorEastAsia"/>
                <w:b w:val="0"/>
                <w:bCs w:val="0"/>
                <w:sz w:val="28"/>
                <w:szCs w:val="28"/>
                <w:lang w:val="en-US" w:eastAsia="zh-CN"/>
              </w:rPr>
              <w:t>医院特殊检验标本外送检测服务招标参数：</w:t>
            </w:r>
          </w:p>
          <w:p w14:paraId="212D3EC3">
            <w:pPr>
              <w:keepNext w:val="0"/>
              <w:keepLines w:val="0"/>
              <w:pageBreakBefore w:val="0"/>
              <w:widowControl w:val="0"/>
              <w:numPr>
                <w:ilvl w:val="0"/>
                <w:numId w:val="0"/>
              </w:numPr>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（一）检测机构必须经国家或广西壮族自治区卫健委核准并持有《医疗机构执业许可证》的专业医学检验机构资质。</w:t>
            </w:r>
          </w:p>
          <w:p w14:paraId="42DB8AF6">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firstLine="0" w:firstLineChars="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（二）实验室需具有ISO9001质量体系认证、或获ISO/IEC17025、ISO15189国际标准认可</w:t>
            </w:r>
            <w:r>
              <w:rPr>
                <w:rFonts w:hint="eastAsia" w:asciiTheme="minorEastAsia" w:hAnsiTheme="minorEastAsia" w:eastAsiaTheme="minorEastAsia" w:cstheme="minorEastAsia"/>
                <w:sz w:val="24"/>
                <w:szCs w:val="24"/>
              </w:rPr>
              <w:t>。</w:t>
            </w:r>
          </w:p>
          <w:p w14:paraId="0C757FB1">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firstLine="0" w:firstLineChars="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三）需提供《诊断项目总汇》，必须包含我院临床需要但我院检验科目前暂未开展的所有临床医学检验项目并具备相应的检测能力。其中检测内容应包括《诊断项目总汇-普检分册》、《诊断项目样本采集手册》、《实体肿瘤个性化检测项目册》、《血液病诊断中心检测项目册》、《遗传病检测项目册》等。</w:t>
            </w:r>
          </w:p>
          <w:p w14:paraId="63E1D3F7">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firstLine="0" w:firstLineChars="0"/>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（四）所有开展的项目需严格按照国家卫健委检验规范进行操作，并对检验结果的准确性负责；并且必须参加国家或广西壮族自治区卫健委组织的室间质评活动，成绩应全部合格。</w:t>
            </w:r>
          </w:p>
          <w:p w14:paraId="60FCA6EC">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firstLine="0" w:firstLineChars="0"/>
              <w:textAlignment w:val="auto"/>
              <w:rPr>
                <w:rFonts w:hint="eastAsia" w:asciiTheme="minorEastAsia" w:hAnsiTheme="minorEastAsia" w:eastAsiaTheme="minorEastAsia" w:cstheme="minorEastAsia"/>
                <w:color w:val="FF0000"/>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（五）检验项目不能捆绑打包整合开单，需设单项检测项目。</w:t>
            </w:r>
            <w:r>
              <w:rPr>
                <w:rFonts w:hint="eastAsia" w:asciiTheme="minorEastAsia" w:hAnsiTheme="minorEastAsia" w:eastAsiaTheme="minorEastAsia" w:cstheme="minorEastAsia"/>
                <w:color w:val="FF0000"/>
                <w:kern w:val="2"/>
                <w:sz w:val="24"/>
                <w:szCs w:val="24"/>
                <w:lang w:val="en-US" w:eastAsia="zh-CN" w:bidi="ar-SA"/>
              </w:rPr>
              <w:t>检测项目必须在医保局办理好相关备案手续，未能进行备案的项目需提供</w:t>
            </w:r>
            <w:r>
              <w:rPr>
                <w:rFonts w:hint="eastAsia" w:asciiTheme="minorEastAsia" w:hAnsiTheme="minorEastAsia" w:cstheme="minorEastAsia"/>
                <w:color w:val="FF0000"/>
                <w:kern w:val="2"/>
                <w:sz w:val="24"/>
                <w:szCs w:val="24"/>
                <w:lang w:val="en-US" w:eastAsia="zh-CN" w:bidi="ar-SA"/>
              </w:rPr>
              <w:t>可行的</w:t>
            </w:r>
            <w:r>
              <w:rPr>
                <w:rFonts w:hint="eastAsia" w:asciiTheme="minorEastAsia" w:hAnsiTheme="minorEastAsia" w:eastAsiaTheme="minorEastAsia" w:cstheme="minorEastAsia"/>
                <w:color w:val="FF0000"/>
                <w:kern w:val="2"/>
                <w:sz w:val="24"/>
                <w:szCs w:val="24"/>
                <w:lang w:val="en-US" w:eastAsia="zh-CN" w:bidi="ar-SA"/>
              </w:rPr>
              <w:t>解决方案。</w:t>
            </w:r>
          </w:p>
          <w:p w14:paraId="27C643AF">
            <w:pPr>
              <w:pStyle w:val="3"/>
              <w:keepNext w:val="0"/>
              <w:keepLines w:val="0"/>
              <w:pageBreakBefore w:val="0"/>
              <w:widowControl w:val="0"/>
              <w:kinsoku/>
              <w:wordWrap/>
              <w:topLinePunct w:val="0"/>
              <w:bidi w:val="0"/>
              <w:snapToGrid/>
              <w:spacing w:line="380" w:lineRule="exac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kern w:val="2"/>
                <w:sz w:val="24"/>
                <w:szCs w:val="24"/>
                <w:lang w:val="en-US" w:eastAsia="zh-CN" w:bidi="ar-SA"/>
              </w:rPr>
              <w:t>（六）乙方根据项目开展需要定期或不定期对合作项目的危急值及项目性能参数进行变更时，以函件的方式通知我院。</w:t>
            </w:r>
          </w:p>
          <w:p w14:paraId="43829FE6">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firstLine="0" w:firstLineChars="0"/>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（七）免费向医院提供送检项目相对应的一次性标本采集材料。每周 6次到医院指定科室收取标本；上门服务时间为周一至周六上午8：00—下午18:00。</w:t>
            </w:r>
          </w:p>
          <w:p w14:paraId="4E1C82AF">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firstLine="0" w:firstLineChars="0"/>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八）对送检样本负责，并保存已检测样本两周，确保送检者对结果有疑义时可在保存期内随时查询、溯源；配置专用运输车辆及设备，确保标本运输时效性；报告出具时间明确约定（如常规项目24小时内、特殊项目48小时内）。</w:t>
            </w:r>
          </w:p>
          <w:p w14:paraId="7E7BED8D">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（九）应具有保密的义务，在未经医院同意或授权前提下，不得向医院检查科室、医务部、临床科室工作人员以外的任何单位或个人泄露委托检验的项目、检验的内容、检验的结果。</w:t>
            </w:r>
          </w:p>
          <w:p w14:paraId="2C65497A">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十）免费建立客服电话、网络、远程客服端等平台系统，且外检项目检测结果查询系统需与医院信息系统对接，保证临床及患者在医院信息系统内正常查询读取和打印报告单，该系统需对外检项目具有统计功能，且第三检测机构负责免费升级维护。</w:t>
            </w:r>
          </w:p>
          <w:p w14:paraId="1BE50262">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color w:val="0000FF"/>
                <w:kern w:val="2"/>
                <w:sz w:val="24"/>
                <w:szCs w:val="24"/>
                <w:lang w:val="en-US" w:eastAsia="zh-CN" w:bidi="ar-SA"/>
              </w:rPr>
            </w:pPr>
            <w:r>
              <w:rPr>
                <w:rFonts w:hint="eastAsia" w:asciiTheme="minorEastAsia" w:hAnsiTheme="minorEastAsia" w:eastAsiaTheme="minorEastAsia" w:cstheme="minorEastAsia"/>
                <w:color w:val="0000FF"/>
                <w:kern w:val="2"/>
                <w:sz w:val="24"/>
                <w:szCs w:val="24"/>
                <w:lang w:val="en-US" w:eastAsia="zh-CN" w:bidi="ar-SA"/>
              </w:rPr>
              <w:t>(十一)送检项目报价必须参照《广西壮族自治区医疗服务价格》（以最新版本和调整通知为准）三级医院收费标准不超过38%向甲方收取委托检验服务费。</w:t>
            </w:r>
          </w:p>
          <w:p w14:paraId="6A6CF8F8">
            <w:pPr>
              <w:pStyle w:val="4"/>
              <w:keepNext w:val="0"/>
              <w:keepLines w:val="0"/>
              <w:pageBreakBefore w:val="0"/>
              <w:widowControl w:val="0"/>
              <w:kinsoku/>
              <w:wordWrap/>
              <w:topLinePunct w:val="0"/>
              <w:bidi w:val="0"/>
              <w:snapToGrid/>
              <w:spacing w:line="380" w:lineRule="exact"/>
              <w:ind w:right="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auto"/>
                <w:sz w:val="24"/>
                <w:szCs w:val="24"/>
                <w:highlight w:val="none"/>
                <w:u w:val="none"/>
                <w:lang w:eastAsia="zh-CN"/>
              </w:rPr>
              <w:t>（十二）</w:t>
            </w:r>
            <w:r>
              <w:rPr>
                <w:rFonts w:hint="eastAsia" w:asciiTheme="minorEastAsia" w:hAnsiTheme="minorEastAsia" w:eastAsiaTheme="minorEastAsia" w:cstheme="minorEastAsia"/>
                <w:color w:val="auto"/>
                <w:sz w:val="24"/>
                <w:szCs w:val="24"/>
                <w:highlight w:val="none"/>
                <w:u w:val="none"/>
              </w:rPr>
              <w:t>检测机构</w:t>
            </w:r>
            <w:r>
              <w:rPr>
                <w:rFonts w:hint="eastAsia" w:asciiTheme="minorEastAsia" w:hAnsiTheme="minorEastAsia" w:eastAsiaTheme="minorEastAsia" w:cstheme="minorEastAsia"/>
                <w:color w:val="auto"/>
                <w:sz w:val="24"/>
                <w:szCs w:val="24"/>
                <w:highlight w:val="none"/>
                <w:u w:val="none"/>
                <w:lang w:eastAsia="zh-CN"/>
              </w:rPr>
              <w:t>需</w:t>
            </w:r>
            <w:r>
              <w:rPr>
                <w:rFonts w:hint="eastAsia" w:asciiTheme="minorEastAsia" w:hAnsiTheme="minorEastAsia" w:eastAsiaTheme="minorEastAsia" w:cstheme="minorEastAsia"/>
                <w:color w:val="auto"/>
                <w:sz w:val="24"/>
                <w:szCs w:val="24"/>
                <w:highlight w:val="none"/>
                <w:u w:val="none"/>
              </w:rPr>
              <w:t>每季度提供质控管理证明材料，具体内容包括但不限于：检测人员资质、室内质控记录、室间质评成绩、实验室间比对记录及比对结论、设备校准、关键试剂耗材的使用记录（含新批号试剂质检记录）等。</w:t>
            </w:r>
          </w:p>
          <w:p w14:paraId="18B3DFF6">
            <w:pPr>
              <w:pStyle w:val="3"/>
              <w:keepNext w:val="0"/>
              <w:keepLines w:val="0"/>
              <w:pageBreakBefore w:val="0"/>
              <w:widowControl w:val="0"/>
              <w:kinsoku/>
              <w:wordWrap/>
              <w:topLinePunct w:val="0"/>
              <w:bidi w:val="0"/>
              <w:snapToGrid/>
              <w:spacing w:line="380" w:lineRule="exact"/>
              <w:rPr>
                <w:rFonts w:hint="eastAsia" w:asciiTheme="minorEastAsia" w:hAnsiTheme="minorEastAsia" w:eastAsiaTheme="minorEastAsia" w:cstheme="minorEastAsia"/>
                <w:color w:val="0000FF"/>
                <w:kern w:val="2"/>
                <w:sz w:val="24"/>
                <w:szCs w:val="24"/>
                <w:lang w:val="en-US" w:eastAsia="zh-CN" w:bidi="ar-SA"/>
              </w:rPr>
            </w:pPr>
            <w:r>
              <w:rPr>
                <w:rFonts w:hint="eastAsia" w:asciiTheme="minorEastAsia" w:hAnsiTheme="minorEastAsia" w:eastAsiaTheme="minorEastAsia" w:cstheme="minorEastAsia"/>
                <w:color w:val="0000FF"/>
                <w:kern w:val="2"/>
                <w:sz w:val="24"/>
                <w:szCs w:val="24"/>
                <w:lang w:val="en-US" w:eastAsia="zh-CN" w:bidi="ar-SA"/>
              </w:rPr>
              <w:t>（十三）送检项目仅限于以下</w:t>
            </w:r>
            <w:r>
              <w:rPr>
                <w:rFonts w:hint="eastAsia" w:asciiTheme="minorEastAsia" w:hAnsiTheme="minorEastAsia" w:eastAsiaTheme="minorEastAsia" w:cstheme="minorEastAsia"/>
                <w:color w:val="FF0000"/>
                <w:kern w:val="2"/>
                <w:sz w:val="24"/>
                <w:szCs w:val="24"/>
                <w:highlight w:val="none"/>
                <w:lang w:val="en-US" w:eastAsia="zh-CN" w:bidi="ar-SA"/>
              </w:rPr>
              <w:t>51</w:t>
            </w:r>
            <w:r>
              <w:rPr>
                <w:rFonts w:hint="eastAsia" w:asciiTheme="minorEastAsia" w:hAnsiTheme="minorEastAsia" w:eastAsiaTheme="minorEastAsia" w:cstheme="minorEastAsia"/>
                <w:color w:val="FF0000"/>
                <w:kern w:val="2"/>
                <w:sz w:val="24"/>
                <w:szCs w:val="24"/>
                <w:lang w:val="en-US" w:eastAsia="zh-CN" w:bidi="ar-SA"/>
              </w:rPr>
              <w:t>项</w:t>
            </w:r>
            <w:r>
              <w:rPr>
                <w:rFonts w:hint="eastAsia" w:asciiTheme="minorEastAsia" w:hAnsiTheme="minorEastAsia" w:eastAsiaTheme="minorEastAsia" w:cstheme="minorEastAsia"/>
                <w:color w:val="0000FF"/>
                <w:kern w:val="2"/>
                <w:sz w:val="24"/>
                <w:szCs w:val="24"/>
                <w:lang w:val="en-US" w:eastAsia="zh-CN" w:bidi="ar-SA"/>
              </w:rPr>
              <w:t>；甲氧基肾上腺素、甲氧基去甲肾上腺素、（直接、间接抗人球蛋白试验）、肿瘤坏死因子α（TNF-α）、T-spot、狼疮抗凝物、肝吸虫IgG抗体、外斐氏反应、布鲁氏菌抗体二项（IgG+IgM）、抗磷脂酶A2受体抗体、ANCA两项、血管炎二项、尿免疫固定电泳、ANCA滴度、抗肾小球基底膜(GBM)抗体定量、血清游离轻链两项监测、血清淀粉样蛋白A、淋巴细胞亚群、他克莫司血药浓度、环孢素a血药浓度、霉酚酸4点监测、人附睾蛋白4（HE4）、性激素结合球蛋白、脱氢表雄酮(DHEA)、雄烯二酮(AD)、雌酮测定(E1)、结核杆菌γ干扰素释放试验、万古霉素血药浓度检测、骨钙素N端中分子片段测定、白介素-1、血清生长激素测定、糖尿病三项、尿香草扁桃体酸、血小板聚集功能、可溶性生长刺激表达基因2蛋白、抗心磷脂抗体检查、血浆儿茶酚胺三项、</w:t>
            </w:r>
            <w:r>
              <w:rPr>
                <w:rFonts w:hint="eastAsia" w:asciiTheme="minorEastAsia" w:hAnsiTheme="minorEastAsia" w:eastAsiaTheme="minorEastAsia" w:cstheme="minorEastAsia"/>
                <w:color w:val="0000FF"/>
                <w:kern w:val="2"/>
                <w:sz w:val="24"/>
                <w:szCs w:val="24"/>
                <w:highlight w:val="none"/>
                <w:lang w:val="en-US" w:eastAsia="zh-CN" w:bidi="ar-SA"/>
              </w:rPr>
              <w:t>septin9肠癌基因检测、</w:t>
            </w:r>
            <w:r>
              <w:rPr>
                <w:rFonts w:hint="eastAsia" w:asciiTheme="minorEastAsia" w:hAnsiTheme="minorEastAsia" w:eastAsiaTheme="minorEastAsia" w:cstheme="minorEastAsia"/>
                <w:color w:val="FF0000"/>
                <w:kern w:val="2"/>
                <w:sz w:val="24"/>
                <w:szCs w:val="24"/>
                <w:highlight w:val="none"/>
                <w:lang w:val="en-US" w:eastAsia="zh-CN" w:bidi="ar-SA"/>
              </w:rPr>
              <w:t>女性肿瘤标志物2项（CA242，NSE，）、</w:t>
            </w:r>
            <w:r>
              <w:rPr>
                <w:rFonts w:hint="eastAsia" w:asciiTheme="minorEastAsia" w:hAnsiTheme="minorEastAsia" w:eastAsiaTheme="minorEastAsia" w:cstheme="minorEastAsia"/>
                <w:color w:val="0000FF"/>
                <w:kern w:val="2"/>
                <w:sz w:val="24"/>
                <w:szCs w:val="24"/>
                <w:highlight w:val="none"/>
                <w:lang w:val="en-US" w:eastAsia="zh-CN" w:bidi="ar-SA"/>
              </w:rPr>
              <w:t>胸苷激酶1（TK1）、异常凝血酶原</w:t>
            </w:r>
            <w:r>
              <w:rPr>
                <w:rFonts w:hint="eastAsia" w:asciiTheme="minorEastAsia" w:hAnsiTheme="minorEastAsia" w:eastAsiaTheme="minorEastAsia" w:cstheme="minorEastAsia"/>
                <w:color w:val="0000FF"/>
                <w:kern w:val="2"/>
                <w:sz w:val="24"/>
                <w:szCs w:val="24"/>
                <w:highlight w:val="none"/>
                <w:shd w:val="clear"/>
                <w:lang w:val="en-US" w:eastAsia="zh-CN" w:bidi="ar-SA"/>
              </w:rPr>
              <w:t>（PIVKA-Ⅱ）</w:t>
            </w:r>
            <w:r>
              <w:rPr>
                <w:rFonts w:hint="eastAsia" w:asciiTheme="minorEastAsia" w:hAnsiTheme="minorEastAsia" w:eastAsiaTheme="minorEastAsia" w:cstheme="minorEastAsia"/>
                <w:color w:val="0000FF"/>
                <w:kern w:val="2"/>
                <w:sz w:val="24"/>
                <w:szCs w:val="24"/>
                <w:highlight w:val="none"/>
                <w:lang w:val="en-US" w:eastAsia="zh-CN" w:bidi="ar-SA"/>
              </w:rPr>
              <w:t>、</w:t>
            </w:r>
            <w:r>
              <w:rPr>
                <w:rFonts w:hint="eastAsia" w:asciiTheme="minorEastAsia" w:hAnsiTheme="minorEastAsia" w:eastAsiaTheme="minorEastAsia" w:cstheme="minorEastAsia"/>
                <w:color w:val="FF0000"/>
                <w:kern w:val="2"/>
                <w:sz w:val="24"/>
                <w:szCs w:val="24"/>
                <w:highlight w:val="none"/>
                <w:lang w:val="en-US" w:eastAsia="zh-CN" w:bidi="ar-SA"/>
              </w:rPr>
              <w:t>男性肿瘤筛查2项（CA242，NSE，）</w:t>
            </w:r>
            <w:r>
              <w:rPr>
                <w:rFonts w:hint="eastAsia" w:asciiTheme="minorEastAsia" w:hAnsiTheme="minorEastAsia" w:eastAsiaTheme="minorEastAsia" w:cstheme="minorEastAsia"/>
                <w:color w:val="0000FF"/>
                <w:kern w:val="2"/>
                <w:sz w:val="24"/>
                <w:szCs w:val="24"/>
                <w:highlight w:val="none"/>
                <w:lang w:val="en-US" w:eastAsia="zh-CN" w:bidi="ar-SA"/>
              </w:rPr>
              <w:t>、微量元素七项（铅，锰，锌，铁，铜，镁，钙）、粪钙</w:t>
            </w:r>
            <w:r>
              <w:rPr>
                <w:rFonts w:hint="eastAsia" w:asciiTheme="minorEastAsia" w:hAnsiTheme="minorEastAsia" w:eastAsiaTheme="minorEastAsia" w:cstheme="minorEastAsia"/>
                <w:color w:val="0000FF"/>
                <w:kern w:val="2"/>
                <w:sz w:val="24"/>
                <w:szCs w:val="24"/>
                <w:lang w:val="en-US" w:eastAsia="zh-CN" w:bidi="ar-SA"/>
              </w:rPr>
              <w:t>卫蛋白、丙戊酸钠血药浓度测定、左乙拉西坦血药浓度测定、血清免疫固定电泳、手足口病二项（CA16/EV71）、诺如病毒核酸定性、全血铅、铜蓝蛋白。</w:t>
            </w:r>
          </w:p>
          <w:p w14:paraId="7B373D5C">
            <w:pPr>
              <w:pStyle w:val="3"/>
              <w:keepNext w:val="0"/>
              <w:keepLines w:val="0"/>
              <w:pageBreakBefore w:val="0"/>
              <w:widowControl w:val="0"/>
              <w:kinsoku/>
              <w:wordWrap/>
              <w:topLinePunct w:val="0"/>
              <w:bidi w:val="0"/>
              <w:snapToGrid/>
              <w:spacing w:line="360" w:lineRule="exact"/>
              <w:rPr>
                <w:rFonts w:hint="eastAsia" w:asciiTheme="minorEastAsia" w:hAnsiTheme="minorEastAsia" w:eastAsiaTheme="minorEastAsia" w:cstheme="minorEastAsia"/>
                <w:color w:val="0000FF"/>
                <w:kern w:val="2"/>
                <w:sz w:val="24"/>
                <w:szCs w:val="24"/>
                <w:lang w:val="en-US" w:eastAsia="zh-CN" w:bidi="ar-SA"/>
              </w:rPr>
            </w:pPr>
          </w:p>
          <w:p w14:paraId="2DBB2C22">
            <w:pPr>
              <w:pStyle w:val="3"/>
              <w:keepNext w:val="0"/>
              <w:keepLines w:val="0"/>
              <w:pageBreakBefore w:val="0"/>
              <w:widowControl w:val="0"/>
              <w:numPr>
                <w:ilvl w:val="0"/>
                <w:numId w:val="1"/>
              </w:numPr>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医院特殊病理标本外送检测服务招标参数：</w:t>
            </w:r>
          </w:p>
          <w:p w14:paraId="0D218566">
            <w:pPr>
              <w:keepNext w:val="0"/>
              <w:keepLines w:val="0"/>
              <w:pageBreakBefore w:val="0"/>
              <w:widowControl w:val="0"/>
              <w:numPr>
                <w:ilvl w:val="0"/>
                <w:numId w:val="0"/>
              </w:numPr>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kern w:val="2"/>
                <w:sz w:val="24"/>
                <w:szCs w:val="24"/>
                <w:lang w:val="en-US" w:eastAsia="zh-CN" w:bidi="ar-SA"/>
              </w:rPr>
              <w:t>（一）检测机构必须经国家或广西壮族自治区卫健委核准并持有《医疗机构执业许可证》的专业医学检验机构资质。</w:t>
            </w:r>
          </w:p>
          <w:p w14:paraId="4AA7073A">
            <w:pPr>
              <w:keepNext w:val="0"/>
              <w:keepLines w:val="0"/>
              <w:pageBreakBefore w:val="0"/>
              <w:widowControl w:val="0"/>
              <w:numPr>
                <w:ilvl w:val="0"/>
                <w:numId w:val="0"/>
              </w:numPr>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kern w:val="2"/>
                <w:sz w:val="24"/>
                <w:szCs w:val="24"/>
                <w:lang w:val="en-US" w:eastAsia="zh-CN" w:bidi="ar-SA"/>
              </w:rPr>
              <w:t>（二）实验室需具有ISO9001质量体系认证、或获ISO/IEC17025、ISO15189国际标准认可、病理检测项目应获得美国或欧洲病理学家协会（CAP）认证。</w:t>
            </w:r>
          </w:p>
          <w:p w14:paraId="68300508">
            <w:pPr>
              <w:keepNext w:val="0"/>
              <w:keepLines w:val="0"/>
              <w:pageBreakBefore w:val="0"/>
              <w:widowControl w:val="0"/>
              <w:numPr>
                <w:ilvl w:val="0"/>
                <w:numId w:val="0"/>
              </w:numPr>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三）需提供《诊断项目总汇》，必须包含我院临床需要但我院病理科目前暂未开展的所有临床医学病理项目并具备相应的检测能力。其中检测内容应包括《诊断项目总汇-普检分册》、《诊断项目样本采集手册》、《实体肿瘤个性化检测项目册》。</w:t>
            </w:r>
          </w:p>
          <w:p w14:paraId="4EF0C20E">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firstLine="0" w:firstLineChars="0"/>
              <w:textAlignment w:val="auto"/>
              <w:rPr>
                <w:rFonts w:hint="eastAsia" w:asciiTheme="minorEastAsia" w:hAnsiTheme="minorEastAsia" w:eastAsiaTheme="minorEastAsia" w:cstheme="minorEastAsia"/>
                <w:color w:val="FF0000"/>
                <w:kern w:val="2"/>
                <w:sz w:val="24"/>
                <w:szCs w:val="24"/>
                <w:lang w:val="en-US" w:eastAsia="zh-CN" w:bidi="ar-SA"/>
              </w:rPr>
            </w:pPr>
            <w:r>
              <w:rPr>
                <w:rFonts w:hint="eastAsia" w:asciiTheme="minorEastAsia" w:hAnsiTheme="minorEastAsia" w:eastAsiaTheme="minorEastAsia" w:cstheme="minorEastAsia"/>
                <w:color w:val="FF0000"/>
                <w:kern w:val="2"/>
                <w:sz w:val="24"/>
                <w:szCs w:val="24"/>
                <w:lang w:val="en-US" w:eastAsia="zh-CN" w:bidi="ar-SA"/>
              </w:rPr>
              <w:t>（四）所有开展的项目需严格按照国家卫健委检验规范进行操作，并对检验结果的准确性负责；并且必须参加国家或广西壮族自治区卫健委组织的室间质评活动，成绩应全部合格。</w:t>
            </w:r>
          </w:p>
          <w:p w14:paraId="19A6D941">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firstLine="0" w:firstLineChars="0"/>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（五）免费向医院提供送检项目相对应的一次性标本采集材料。每周 6次到医院指定科室收</w:t>
            </w:r>
            <w:r>
              <w:rPr>
                <w:rFonts w:hint="eastAsia" w:asciiTheme="minorEastAsia" w:hAnsiTheme="minorEastAsia" w:eastAsiaTheme="minorEastAsia" w:cstheme="minorEastAsia"/>
                <w:color w:val="auto"/>
                <w:kern w:val="2"/>
                <w:sz w:val="24"/>
                <w:szCs w:val="24"/>
                <w:lang w:val="en-US" w:eastAsia="zh-CN" w:bidi="ar-SA"/>
              </w:rPr>
              <w:t>取标本。上门服务时间为周一至周六上午8：00—下午18:00。</w:t>
            </w:r>
          </w:p>
          <w:p w14:paraId="51369DBE">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firstLine="0" w:firstLineChars="0"/>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六）对送检样本负责，并保存已检测样本两周，送检者对结果有疑义时可在保存期内随时查询、溯源；配备专用冷链运输设备，确保标本时效性与安全性；报告出具时间明确约定（如常规项目24小时内、特殊项目48小时内）。</w:t>
            </w:r>
          </w:p>
          <w:p w14:paraId="0211F1AF">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firstLine="0" w:firstLineChars="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（七）应具有保密的义务，在未经医院同意或授权前提下，不得向医院检查科室、医务部、临床科室工作人员以外的任何单位或个人泄露委托检查的项目、检查的内容、检查的结果。</w:t>
            </w:r>
          </w:p>
          <w:p w14:paraId="0B4D86EB">
            <w:pPr>
              <w:pStyle w:val="3"/>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firstLine="0" w:firstLineChars="0"/>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（八）免费向医院对口支援、医联体成员单位提供病理标本的接收及报告发送等物流服务。</w:t>
            </w:r>
          </w:p>
          <w:p w14:paraId="4A2ADD99">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九）免费建立客服电话、网络、远程客服端等平台系统，且外检项目检测结果查询系统需与医院信息系统对接，保证临床及患者在医院信息系统内正常查询读取和打印报告单，该系统需对外检项目具有统计功能，且第三检测机构负责免费升级维护。</w:t>
            </w:r>
          </w:p>
          <w:p w14:paraId="06BCF6C9">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color w:val="0000FF"/>
                <w:kern w:val="2"/>
                <w:sz w:val="24"/>
                <w:szCs w:val="24"/>
                <w:lang w:val="en-US" w:eastAsia="zh-CN" w:bidi="ar-SA"/>
              </w:rPr>
            </w:pPr>
            <w:r>
              <w:rPr>
                <w:rFonts w:hint="eastAsia" w:asciiTheme="minorEastAsia" w:hAnsiTheme="minorEastAsia" w:eastAsiaTheme="minorEastAsia" w:cstheme="minorEastAsia"/>
                <w:color w:val="0000FF"/>
                <w:kern w:val="2"/>
                <w:sz w:val="24"/>
                <w:szCs w:val="24"/>
                <w:lang w:val="en-US" w:eastAsia="zh-CN" w:bidi="ar-SA"/>
              </w:rPr>
              <w:t>（十）送检项目报价必须参照《广西壮族自治区医疗服务价格》（以最新版本和调整通知为准）三级医院收费标准不超过38%向甲方收取委托检验服务费。</w:t>
            </w:r>
          </w:p>
          <w:p w14:paraId="16F5C8B7">
            <w:pPr>
              <w:pStyle w:val="2"/>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ajorEastAsia" w:hAnsiTheme="majorEastAsia" w:eastAsiaTheme="majorEastAsia" w:cstheme="majorEastAsia"/>
                <w:color w:val="0000FF"/>
                <w:kern w:val="2"/>
                <w:sz w:val="28"/>
                <w:szCs w:val="28"/>
                <w:lang w:val="en-US" w:eastAsia="zh-CN" w:bidi="ar-SA"/>
              </w:rPr>
            </w:pPr>
            <w:r>
              <w:rPr>
                <w:rFonts w:hint="eastAsia" w:asciiTheme="minorEastAsia" w:hAnsiTheme="minorEastAsia" w:eastAsiaTheme="minorEastAsia" w:cstheme="minorEastAsia"/>
                <w:color w:val="0000FF"/>
                <w:kern w:val="2"/>
                <w:sz w:val="24"/>
                <w:szCs w:val="24"/>
                <w:lang w:val="en-US" w:eastAsia="zh-CN" w:bidi="ar-SA"/>
              </w:rPr>
              <w:t>（十一）送检项目仅限于以下19项：呼吸道病原体靶向检测198项、BRCA1/2基因胚系突变检测、PD-L1检测、70基因检测、28基因检测、PIK3CA基因检测、21基因检测、血栓性疾病安全用药基因检测、肾脏病理相关检查项目、外周血染色体核型分析、染色体高通量测序、卵巢癌相关基因检测套餐、POLE基因、BRCA基因、肺癌靶向基因检测、子宫内膜癌相关基因检测套餐、PD-L1、地中海贫血基因分型、呼吸道病原体靶向检测96项。</w:t>
            </w:r>
          </w:p>
        </w:tc>
      </w:tr>
    </w:tbl>
    <w:p w14:paraId="6650A9F3">
      <w:pPr>
        <w:pStyle w:val="2"/>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D9DD6E"/>
    <w:multiLevelType w:val="singleLevel"/>
    <w:tmpl w:val="B4D9DD6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D64AE1"/>
    <w:rsid w:val="023212B4"/>
    <w:rsid w:val="03D1158F"/>
    <w:rsid w:val="04C42EA2"/>
    <w:rsid w:val="062A31D9"/>
    <w:rsid w:val="06E718C8"/>
    <w:rsid w:val="077A3CEC"/>
    <w:rsid w:val="081D2FF5"/>
    <w:rsid w:val="08403721"/>
    <w:rsid w:val="089112ED"/>
    <w:rsid w:val="08BD6090"/>
    <w:rsid w:val="09175C96"/>
    <w:rsid w:val="098608AA"/>
    <w:rsid w:val="0AA3355A"/>
    <w:rsid w:val="0B63798D"/>
    <w:rsid w:val="0FA313CD"/>
    <w:rsid w:val="13C616FE"/>
    <w:rsid w:val="1B604502"/>
    <w:rsid w:val="1DA358F3"/>
    <w:rsid w:val="1F462732"/>
    <w:rsid w:val="1F896D6A"/>
    <w:rsid w:val="20436F19"/>
    <w:rsid w:val="21311468"/>
    <w:rsid w:val="21F52495"/>
    <w:rsid w:val="221072CF"/>
    <w:rsid w:val="254E083A"/>
    <w:rsid w:val="25EF3DCB"/>
    <w:rsid w:val="29FF65A7"/>
    <w:rsid w:val="2A454F4F"/>
    <w:rsid w:val="2B4D6E9E"/>
    <w:rsid w:val="2B552187"/>
    <w:rsid w:val="2C016968"/>
    <w:rsid w:val="2CB170AE"/>
    <w:rsid w:val="2DDB4C35"/>
    <w:rsid w:val="2DEA4E78"/>
    <w:rsid w:val="2EBA0CEE"/>
    <w:rsid w:val="2ED31DB0"/>
    <w:rsid w:val="2F1A178D"/>
    <w:rsid w:val="301F52AD"/>
    <w:rsid w:val="31E87920"/>
    <w:rsid w:val="33240E2C"/>
    <w:rsid w:val="33386686"/>
    <w:rsid w:val="33C30645"/>
    <w:rsid w:val="34AA5361"/>
    <w:rsid w:val="35103416"/>
    <w:rsid w:val="36792AB9"/>
    <w:rsid w:val="38797524"/>
    <w:rsid w:val="39561614"/>
    <w:rsid w:val="3A03179B"/>
    <w:rsid w:val="3A537DC3"/>
    <w:rsid w:val="3BDA6648"/>
    <w:rsid w:val="414E15C9"/>
    <w:rsid w:val="42430E57"/>
    <w:rsid w:val="42F0263A"/>
    <w:rsid w:val="43B35FE0"/>
    <w:rsid w:val="447119F7"/>
    <w:rsid w:val="448A413C"/>
    <w:rsid w:val="44A27E03"/>
    <w:rsid w:val="48DA400F"/>
    <w:rsid w:val="493D634C"/>
    <w:rsid w:val="4B0215FB"/>
    <w:rsid w:val="4C7C718B"/>
    <w:rsid w:val="4D2C6E03"/>
    <w:rsid w:val="4F343D4D"/>
    <w:rsid w:val="50502E09"/>
    <w:rsid w:val="50F82A7C"/>
    <w:rsid w:val="51DC2BA6"/>
    <w:rsid w:val="5272350A"/>
    <w:rsid w:val="52990A97"/>
    <w:rsid w:val="52FB705C"/>
    <w:rsid w:val="5382777D"/>
    <w:rsid w:val="54E922BB"/>
    <w:rsid w:val="5CC93D27"/>
    <w:rsid w:val="5CF05758"/>
    <w:rsid w:val="5CF43DF0"/>
    <w:rsid w:val="5EFD5F0A"/>
    <w:rsid w:val="5FE84E0C"/>
    <w:rsid w:val="614400FC"/>
    <w:rsid w:val="619863BE"/>
    <w:rsid w:val="637F7835"/>
    <w:rsid w:val="6390559E"/>
    <w:rsid w:val="63FE3473"/>
    <w:rsid w:val="64032214"/>
    <w:rsid w:val="653463FD"/>
    <w:rsid w:val="659A6BA8"/>
    <w:rsid w:val="66DE4B5A"/>
    <w:rsid w:val="682D5AB2"/>
    <w:rsid w:val="693D1D24"/>
    <w:rsid w:val="69B34CBE"/>
    <w:rsid w:val="6B7E4876"/>
    <w:rsid w:val="6F3E05A4"/>
    <w:rsid w:val="6F6D4A9B"/>
    <w:rsid w:val="70272D41"/>
    <w:rsid w:val="71E52F59"/>
    <w:rsid w:val="728564EA"/>
    <w:rsid w:val="74E03EAC"/>
    <w:rsid w:val="753F6E24"/>
    <w:rsid w:val="7657019E"/>
    <w:rsid w:val="77132317"/>
    <w:rsid w:val="77955421"/>
    <w:rsid w:val="77EB6DF0"/>
    <w:rsid w:val="78520C1D"/>
    <w:rsid w:val="78AF2513"/>
    <w:rsid w:val="791A5BDE"/>
    <w:rsid w:val="79532E9E"/>
    <w:rsid w:val="7AD87AFF"/>
    <w:rsid w:val="7B130B37"/>
    <w:rsid w:val="7D1208B4"/>
    <w:rsid w:val="7DDB3462"/>
    <w:rsid w:val="7F280963"/>
    <w:rsid w:val="7F6000C3"/>
    <w:rsid w:val="7F736048"/>
    <w:rsid w:val="7F8A5140"/>
    <w:rsid w:val="7FD36A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表格文字"/>
    <w:unhideWhenUsed/>
    <w:qFormat/>
    <w:uiPriority w:val="0"/>
    <w:pPr>
      <w:widowControl w:val="0"/>
      <w:spacing w:before="25" w:after="25" w:line="560" w:lineRule="exact"/>
      <w:jc w:val="both"/>
    </w:pPr>
    <w:rPr>
      <w:rFonts w:hint="eastAsia" w:ascii="Times New Roman" w:hAnsi="仿宋_GB2312" w:eastAsia="宋体" w:cs="仿宋_GB2312"/>
      <w:spacing w:val="10"/>
      <w:kern w:val="2"/>
      <w:sz w:val="24"/>
      <w:szCs w:val="24"/>
      <w:lang w:val="en-US" w:eastAsia="zh-CN" w:bidi="ar-SA"/>
    </w:rPr>
  </w:style>
  <w:style w:type="paragraph" w:styleId="3">
    <w:name w:val="Body Text"/>
    <w:basedOn w:val="1"/>
    <w:qFormat/>
    <w:uiPriority w:val="0"/>
    <w:rPr>
      <w:rFonts w:ascii="仿宋_GB2312" w:hAnsi="Times New Roman" w:eastAsia="仿宋_GB2312" w:cs="Times New Roman"/>
      <w:sz w:val="32"/>
    </w:rPr>
  </w:style>
  <w:style w:type="paragraph" w:styleId="4">
    <w:name w:val="footer"/>
    <w:next w:val="1"/>
    <w:qFormat/>
    <w:uiPriority w:val="0"/>
    <w:pPr>
      <w:widowControl w:val="0"/>
      <w:tabs>
        <w:tab w:val="center" w:pos="4153"/>
        <w:tab w:val="right" w:pos="8306"/>
      </w:tabs>
      <w:overflowPunct w:val="0"/>
      <w:autoSpaceDE w:val="0"/>
      <w:autoSpaceDN w:val="0"/>
      <w:adjustRightInd w:val="0"/>
      <w:spacing w:line="240" w:lineRule="atLeast"/>
      <w:jc w:val="both"/>
      <w:textAlignment w:val="baseline"/>
    </w:pPr>
    <w:rPr>
      <w:rFonts w:ascii="仿宋_GB2312" w:hAnsi="仿宋_GB2312" w:eastAsia="仿宋_GB2312" w:cs="仿宋_GB2312"/>
      <w:kern w:val="2"/>
      <w:sz w:val="20"/>
      <w:szCs w:val="32"/>
      <w:lang w:val="en-US" w:eastAsia="zh-CN" w:bidi="ar-SA"/>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2426</Words>
  <Characters>2603</Characters>
  <Lines>0</Lines>
  <Paragraphs>0</Paragraphs>
  <TotalTime>5</TotalTime>
  <ScaleCrop>false</ScaleCrop>
  <LinksUpToDate>false</LinksUpToDate>
  <CharactersWithSpaces>2606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2025-05-09T02:18:00Z</dcterms:created>
  <dc:creator>Administrator</dc:creator>
  <cp:lastModifiedBy>Administrator</cp:lastModifiedBy>
  <cp:lastPrinted>2025-05-14T08:54:00Z</cp:lastPrinted>
  <dcterms:modified xsi:type="dcterms:W3CDTF">2025-05-14T10:40:13Z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eyJoZGlkIjoiMjg1N2RkNTk1ZGY3ZDY1MWRkZGNiMWZjNjY3ZGI3YzkiLCJ1c2VySWQiOiI0NDQwNDgxNTgifQ==</vt:lpwstr>
  </property>
  <property fmtid="{D5CDD505-2E9C-101B-9397-08002B2CF9AE}" pid="4" name="ICV">
    <vt:lpwstr>BAC69F85604C4A7C8E686359DDBA4AAF_12</vt:lpwstr>
  </property>
</Properties>
</file>