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8"/>
        <w:tblW w:w="101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"/>
        <w:gridCol w:w="475"/>
        <w:gridCol w:w="8648"/>
        <w:gridCol w:w="324"/>
        <w:gridCol w:w="346"/>
      </w:tblGrid>
      <w:tr w14:paraId="4EC73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346" w:type="dxa"/>
            <w:vAlign w:val="center"/>
          </w:tcPr>
          <w:p w14:paraId="28952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both"/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</w:rPr>
            </w:pPr>
            <w:bookmarkStart w:id="0" w:name="_Toc25341992"/>
            <w:r>
              <w:rPr>
                <w:rFonts w:hint="default" w:ascii="Arial" w:hAnsi="Arial" w:cs="Arial"/>
                <w:b/>
                <w:bCs/>
                <w:color w:val="auto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475" w:type="dxa"/>
            <w:vAlign w:val="center"/>
          </w:tcPr>
          <w:p w14:paraId="5C9E8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  <w:t>设备</w:t>
            </w:r>
            <w:r>
              <w:rPr>
                <w:rFonts w:hint="default" w:ascii="Arial" w:hAnsi="Arial" w:cs="Arial"/>
                <w:b/>
                <w:bCs/>
                <w:color w:val="auto"/>
                <w:kern w:val="0"/>
                <w:szCs w:val="21"/>
                <w:highlight w:val="none"/>
              </w:rPr>
              <w:t>名称</w:t>
            </w:r>
          </w:p>
        </w:tc>
        <w:tc>
          <w:tcPr>
            <w:tcW w:w="8648" w:type="dxa"/>
            <w:vAlign w:val="center"/>
          </w:tcPr>
          <w:p w14:paraId="4F58D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  <w:t>参考参数</w:t>
            </w:r>
            <w:r>
              <w:rPr>
                <w:rFonts w:hint="default" w:ascii="Arial" w:hAnsi="Arial" w:cs="Arial"/>
                <w:b/>
                <w:bCs/>
                <w:color w:val="auto"/>
                <w:kern w:val="0"/>
                <w:szCs w:val="21"/>
                <w:highlight w:val="none"/>
              </w:rPr>
              <w:t>及配置</w:t>
            </w:r>
          </w:p>
        </w:tc>
        <w:tc>
          <w:tcPr>
            <w:tcW w:w="324" w:type="dxa"/>
            <w:vAlign w:val="center"/>
          </w:tcPr>
          <w:p w14:paraId="5335F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color w:val="auto"/>
                <w:kern w:val="0"/>
                <w:szCs w:val="21"/>
                <w:highlight w:val="none"/>
              </w:rPr>
              <w:t>数量</w:t>
            </w:r>
          </w:p>
        </w:tc>
        <w:tc>
          <w:tcPr>
            <w:tcW w:w="346" w:type="dxa"/>
            <w:vAlign w:val="center"/>
          </w:tcPr>
          <w:p w14:paraId="3D5F9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color w:val="auto"/>
                <w:kern w:val="0"/>
                <w:szCs w:val="21"/>
                <w:highlight w:val="none"/>
              </w:rPr>
              <w:t>单位</w:t>
            </w:r>
          </w:p>
        </w:tc>
      </w:tr>
      <w:tr w14:paraId="4EC04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5" w:hRule="atLeast"/>
          <w:jc w:val="center"/>
        </w:trPr>
        <w:tc>
          <w:tcPr>
            <w:tcW w:w="346" w:type="dxa"/>
            <w:vAlign w:val="center"/>
          </w:tcPr>
          <w:p w14:paraId="7E3BF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eastAsia="宋体" w:cs="Arial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475" w:type="dxa"/>
            <w:vAlign w:val="center"/>
          </w:tcPr>
          <w:p w14:paraId="6F60C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eastAsia="宋体" w:cs="Arial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sz w:val="21"/>
                <w:szCs w:val="21"/>
                <w:lang w:val="en-US" w:eastAsia="zh-CN"/>
              </w:rPr>
              <w:t>全自动生化分析流水线（带前处理）</w:t>
            </w:r>
          </w:p>
        </w:tc>
        <w:tc>
          <w:tcPr>
            <w:tcW w:w="8648" w:type="dxa"/>
            <w:vAlign w:val="center"/>
          </w:tcPr>
          <w:p w14:paraId="4E50254B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一、系统整体要求</w:t>
            </w:r>
          </w:p>
          <w:p w14:paraId="722AAE34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▲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1、全自动生化流水线系统配置包括：样本处理系统（含样本前处理系统和后处理系统）及生化分析设备、全自动真空采血管分拣核收系统、智慧科研平台、实验室数智化质量管理平台、智慧实验室管理系统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。</w:t>
            </w:r>
          </w:p>
          <w:p w14:paraId="74A85F9F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▲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2、流水线的样本处理系统（含样本前处理系统和后处理系统）及生化分析设备为同一品牌产品。 </w:t>
            </w:r>
          </w:p>
          <w:p w14:paraId="4EFB193A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 w:firstLineChars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 w:bidi="ar-SA"/>
              </w:rPr>
              <w:t>3、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系统具有扩展性，可根据医院发展需要增加功能单元和分析仪器，提升整套系统分析处理能力。系统需同时具备支持离线分析仪和在线分析仪的能力。</w:t>
            </w:r>
          </w:p>
          <w:p w14:paraId="43909B93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 w:firstLineChars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 w:bidi="ar-SA"/>
              </w:rPr>
              <w:t>4、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中标后投标人根据实验室实际工作流程、仪器布局、设施需求制定自动化实施方案，绘制效果图。</w:t>
            </w:r>
          </w:p>
          <w:p w14:paraId="7C08374C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auto"/>
                <w:sz w:val="21"/>
                <w:szCs w:val="21"/>
                <w:lang w:val="en-US" w:eastAsia="zh-CN"/>
              </w:rPr>
              <w:t>二、进样单元</w:t>
            </w:r>
          </w:p>
          <w:p w14:paraId="4D5C1942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 w:firstLineChars="0"/>
              <w:jc w:val="left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1、样本进样单元处理能力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1200管/小时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69FF540B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 w:firstLineChars="0"/>
              <w:jc w:val="left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2、单次装载样本量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500管，可动态抽屉式进样。每一个架式进样单元可同时兼容多种类型的样本管进样，并且同时支持13*75mm及13*100mm的样本管在同一个样本架上同时进样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02469598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支持急诊样本优先处理（可以根据优先级设置实时自动进样顺序）。</w:t>
            </w:r>
          </w:p>
          <w:p w14:paraId="559AFE68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采用拍照功能识别样本管条码，提高样本条码识别能力。</w:t>
            </w:r>
          </w:p>
          <w:p w14:paraId="5745573D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三、离心单元</w:t>
            </w:r>
          </w:p>
          <w:p w14:paraId="7DCE61A8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1、离心机处理能力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1000管/小时。</w:t>
            </w:r>
          </w:p>
          <w:p w14:paraId="2FDB3F49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2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、单台离心机处理能力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5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0管/小时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最大离心力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4000g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具有低温自动平衡功能。</w:t>
            </w:r>
          </w:p>
          <w:p w14:paraId="640F5D65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、急诊样本具有优先离心，优先处理的功能。</w:t>
            </w:r>
          </w:p>
          <w:p w14:paraId="340162CA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、同一台离心机可同时支持不同尺寸、不同类型的样本管离心，例如同一台离心机可同时支持13*100mm及13*75mm样本管的离心。</w:t>
            </w:r>
          </w:p>
          <w:p w14:paraId="77352597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四、去盖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加盖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单元</w:t>
            </w:r>
          </w:p>
          <w:p w14:paraId="1BF3D80F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1、去盖单元处理能力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1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00管/小时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，支持多种类型的样本管的脱盖。</w:t>
            </w:r>
          </w:p>
          <w:p w14:paraId="30C63862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2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废弃管盖回收容器内置在流水线模块内，封闭式的内置回收容器。</w:t>
            </w:r>
          </w:p>
          <w:p w14:paraId="385C737D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3、加盖单元处理能力≥1200管/小时/模块，使用通用型样本管盖，支持多种类型的样本管盖的加盖。</w:t>
            </w:r>
          </w:p>
          <w:p w14:paraId="487476F3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五、出样单元</w:t>
            </w:r>
          </w:p>
          <w:p w14:paraId="39F6847F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1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、具备独立的出样单元，出样单元处理能力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1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00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管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/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小时。</w:t>
            </w:r>
          </w:p>
          <w:p w14:paraId="2B09E047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2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、出样单元总出样容量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840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管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/模块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。</w:t>
            </w:r>
          </w:p>
          <w:p w14:paraId="628940C6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3、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出样位置可根据用户自定义进行样本分选。</w:t>
            </w:r>
          </w:p>
          <w:p w14:paraId="3348EAAC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六、样本存储单元</w:t>
            </w:r>
          </w:p>
          <w:p w14:paraId="3095C8AD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Arial"/>
                <w:color w:val="auto"/>
                <w:sz w:val="21"/>
                <w:szCs w:val="21"/>
                <w:lang w:eastAsia="zh-CN"/>
              </w:rPr>
              <w:t>▲</w:t>
            </w:r>
            <w:r>
              <w:rPr>
                <w:rFonts w:hint="default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1、样本存储单元容量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hint="default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13000管，样本存储单元处理能力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hint="default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1200管/小时/模块。</w:t>
            </w:r>
          </w:p>
          <w:p w14:paraId="578A0445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 w:firstLineChars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 w:bidi="ar-SA"/>
              </w:rPr>
              <w:t>2、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支持样本自动复查及追加测试，支持样本自动获取及手工获取。</w:t>
            </w:r>
          </w:p>
          <w:p w14:paraId="6835A019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default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default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用户可自定义过期样本时间，支持过期样本的自动丢弃。</w:t>
            </w:r>
          </w:p>
          <w:p w14:paraId="6831BC2B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4、样本存储单元同一个样本架可同时支持不同类型、不同尺寸样本管的存储。</w:t>
            </w:r>
          </w:p>
          <w:p w14:paraId="2E81BB5E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七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、轨道系统</w:t>
            </w:r>
          </w:p>
          <w:p w14:paraId="14C29E15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1、轨道系统采用双向多轨道设计，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主轨道数量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3根，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支持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实时在线追踪样本，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支持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急诊样本优先处理。</w:t>
            </w:r>
          </w:p>
          <w:p w14:paraId="71F6BC94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2、单个轨道传输速度≥1200管/小时。</w:t>
            </w:r>
          </w:p>
          <w:p w14:paraId="1B3B8A3F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hint="eastAsia" w:eastAsia="宋体" w:cs="Arial"/>
                <w:color w:val="auto"/>
                <w:sz w:val="21"/>
                <w:szCs w:val="21"/>
                <w:lang w:eastAsia="zh-CN"/>
              </w:rPr>
              <w:t>▲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3、样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本管在轨道上以单个样本的传输模式传输。</w:t>
            </w:r>
          </w:p>
          <w:p w14:paraId="48F9F64E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cs="Arial"/>
                <w:color w:val="auto"/>
                <w:sz w:val="21"/>
                <w:szCs w:val="21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、轨道系统采用电动马达驱动，配置R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FID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技术，实时追踪定位样本信息。</w:t>
            </w:r>
          </w:p>
          <w:p w14:paraId="248D7368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八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、数据管理系统</w:t>
            </w:r>
          </w:p>
          <w:p w14:paraId="1F709AAA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1、能够集中控制并管理线上仪器，可实时监测线上样本状态和追踪样本位置信息、仪器状态、试剂耗材信息。</w:t>
            </w:r>
          </w:p>
          <w:p w14:paraId="26C09E37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2、开放数据接口并能与本院LIS和HIS系统连接，提供数据接口文档。流水线数据管理软件与线上分析仪器进行动态连接，实时更新仪器状态信息。</w:t>
            </w:r>
          </w:p>
          <w:p w14:paraId="6E4FF1C9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3、具备智慧大屏功能，可实时展示流水线系统状态，包括当天的工作量、自动审核通过率、样本TAT、危急值样本提醒、质控状态预警功能、仪器及试剂耗材状态等信息。</w:t>
            </w:r>
          </w:p>
          <w:p w14:paraId="6C77E34A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4、支持远程控制功能。</w:t>
            </w:r>
          </w:p>
          <w:p w14:paraId="59D8BBF9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九</w:t>
            </w:r>
            <w:r>
              <w:rPr>
                <w:rFonts w:ascii="Arial" w:hAnsi="Arial" w:cs="Arial"/>
                <w:sz w:val="21"/>
                <w:szCs w:val="21"/>
              </w:rPr>
              <w:t>、全自动生化分析仪</w:t>
            </w:r>
          </w:p>
          <w:p w14:paraId="142B9C53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cs="Arial"/>
                <w:sz w:val="21"/>
                <w:szCs w:val="21"/>
              </w:rPr>
            </w:pPr>
            <w:r>
              <w:rPr>
                <w:rFonts w:hint="eastAsia" w:eastAsia="宋体" w:cs="Arial"/>
                <w:color w:val="auto"/>
                <w:sz w:val="21"/>
                <w:szCs w:val="21"/>
                <w:lang w:eastAsia="zh-CN"/>
              </w:rPr>
              <w:t>▲</w:t>
            </w:r>
            <w:r>
              <w:rPr>
                <w:rFonts w:ascii="Arial" w:hAnsi="Arial" w:cs="Arial"/>
                <w:sz w:val="21"/>
                <w:szCs w:val="21"/>
              </w:rPr>
              <w:t>1、</w:t>
            </w:r>
            <w:r>
              <w:rPr>
                <w:rFonts w:hint="eastAsia" w:ascii="Arial" w:hAnsi="Arial" w:cs="Arial"/>
                <w:sz w:val="21"/>
                <w:szCs w:val="21"/>
              </w:rPr>
              <w:t>全自动生化分析仪综合检测速度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Arial" w:hAnsi="Arial" w:cs="Arial"/>
                <w:sz w:val="21"/>
                <w:szCs w:val="21"/>
              </w:rPr>
              <w:t>10700测试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Arial" w:hAnsi="Arial" w:cs="Arial"/>
                <w:sz w:val="21"/>
                <w:szCs w:val="21"/>
              </w:rPr>
              <w:t>小时，生化模块检测速度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Arial" w:hAnsi="Arial" w:cs="Arial"/>
                <w:sz w:val="21"/>
                <w:szCs w:val="21"/>
              </w:rPr>
              <w:t>8000测试/小时，电解质模块检测速度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Arial" w:hAnsi="Arial" w:cs="Arial"/>
                <w:sz w:val="21"/>
                <w:szCs w:val="21"/>
              </w:rPr>
              <w:t>2700测试/小时。</w:t>
            </w:r>
          </w:p>
          <w:p w14:paraId="46729C0D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2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、模块化设计，单台分析仪器可模块化扩展（各模块独立运行互不影响），单个光学检测模块测试速度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2000测试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小时。</w:t>
            </w:r>
          </w:p>
          <w:p w14:paraId="0F84E95C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3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、单个电解质模块检测速度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800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测试/小时。</w:t>
            </w:r>
          </w:p>
          <w:p w14:paraId="55288192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4、电解质模块为独立模块并且配置单独的样本针，不与生化分析模块共用样本针，避免携带污染及相互影响检测速度。</w:t>
            </w:r>
          </w:p>
          <w:p w14:paraId="493D5D0E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5、电极模块配置Na、K、Cl电极和参比电极，各电极为独立结构，更换时只需更换单个电极，降低电解质模块维护成本。</w:t>
            </w:r>
          </w:p>
          <w:p w14:paraId="4EE63535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eastAsia="zh-CN"/>
              </w:rPr>
              <w:t>▲</w:t>
            </w:r>
            <w:r>
              <w:rPr>
                <w:rFonts w:ascii="Arial" w:hAnsi="Arial" w:cs="Arial"/>
                <w:sz w:val="21"/>
                <w:szCs w:val="21"/>
              </w:rPr>
              <w:t>6、试剂通道全开放，在开放试剂通道中可以选用任意</w:t>
            </w:r>
            <w:r>
              <w:rPr>
                <w:rFonts w:hint="eastAsia" w:ascii="Arial" w:hAnsi="Arial" w:cs="Arial"/>
                <w:sz w:val="21"/>
                <w:szCs w:val="21"/>
              </w:rPr>
              <w:t>第三方</w:t>
            </w:r>
            <w:r>
              <w:rPr>
                <w:rFonts w:ascii="Arial" w:hAnsi="Arial" w:cs="Arial"/>
                <w:sz w:val="21"/>
                <w:szCs w:val="21"/>
              </w:rPr>
              <w:t>品牌试剂。</w:t>
            </w:r>
          </w:p>
          <w:p w14:paraId="71346DF8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7、总试剂位</w:t>
            </w:r>
            <w:r>
              <w:rPr>
                <w:rFonts w:hint="eastAsia" w:ascii="Arial" w:hAnsi="Arial" w:eastAsia="宋体" w:cs="Arial"/>
                <w:sz w:val="21"/>
                <w:szCs w:val="21"/>
                <w:lang w:eastAsia="zh-CN"/>
              </w:rPr>
              <w:t>≥</w:t>
            </w:r>
            <w:r>
              <w:rPr>
                <w:rFonts w:ascii="Arial" w:hAnsi="Arial" w:cs="Arial"/>
                <w:sz w:val="21"/>
                <w:szCs w:val="21"/>
              </w:rPr>
              <w:t>200个，可开展</w:t>
            </w:r>
            <w:r>
              <w:rPr>
                <w:rFonts w:hint="eastAsia" w:ascii="Arial" w:hAnsi="Arial" w:eastAsia="宋体" w:cs="Arial"/>
                <w:sz w:val="21"/>
                <w:szCs w:val="21"/>
                <w:lang w:eastAsia="zh-CN"/>
              </w:rPr>
              <w:t>≥</w:t>
            </w:r>
            <w:r>
              <w:rPr>
                <w:rFonts w:ascii="Arial" w:hAnsi="Arial" w:cs="Arial"/>
                <w:sz w:val="21"/>
                <w:szCs w:val="21"/>
              </w:rPr>
              <w:t>100个双试剂项目，支持</w:t>
            </w:r>
            <w:r>
              <w:rPr>
                <w:rFonts w:hint="eastAsia" w:ascii="Arial" w:hAnsi="Arial" w:cs="Arial"/>
                <w:sz w:val="21"/>
                <w:szCs w:val="21"/>
              </w:rPr>
              <w:t>第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>
              <w:rPr>
                <w:rFonts w:hint="eastAsia" w:ascii="Arial" w:hAnsi="Arial" w:cs="Arial"/>
                <w:sz w:val="21"/>
                <w:szCs w:val="21"/>
              </w:rPr>
              <w:t>种</w:t>
            </w:r>
            <w:r>
              <w:rPr>
                <w:rFonts w:ascii="Arial" w:hAnsi="Arial" w:cs="Arial"/>
                <w:sz w:val="21"/>
                <w:szCs w:val="21"/>
              </w:rPr>
              <w:t>试剂检测项目。</w:t>
            </w:r>
          </w:p>
          <w:p w14:paraId="7F83D6C8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8、有国产条码</w:t>
            </w:r>
            <w:r>
              <w:rPr>
                <w:rFonts w:hint="eastAsia" w:ascii="Arial" w:hAnsi="Arial" w:eastAsia="宋体" w:cs="Arial"/>
                <w:sz w:val="21"/>
                <w:szCs w:val="21"/>
                <w:lang w:eastAsia="zh-CN"/>
              </w:rPr>
              <w:t>式</w:t>
            </w:r>
            <w:r>
              <w:rPr>
                <w:rFonts w:ascii="Arial" w:hAnsi="Arial" w:cs="Arial"/>
                <w:sz w:val="21"/>
                <w:szCs w:val="21"/>
              </w:rPr>
              <w:t>包装试剂。</w:t>
            </w:r>
          </w:p>
          <w:p w14:paraId="3A1F6DA2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9、比色杯材质采用石英玻璃比色杯</w:t>
            </w:r>
            <w:r>
              <w:rPr>
                <w:rFonts w:hint="eastAsia" w:ascii="Arial" w:hAnsi="Arial" w:cs="Arial"/>
                <w:sz w:val="21"/>
                <w:szCs w:val="21"/>
              </w:rPr>
              <w:t>。</w:t>
            </w:r>
          </w:p>
          <w:p w14:paraId="27F84E5B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9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、最小加样体积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≤</w:t>
            </w:r>
            <w:r>
              <w:rPr>
                <w:rFonts w:ascii="Arial" w:hAnsi="Arial" w:cs="Arial"/>
                <w:color w:val="auto"/>
                <w:sz w:val="21"/>
                <w:szCs w:val="21"/>
              </w:rPr>
              <w:t>1.0ul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</w:rPr>
              <w:t>。</w:t>
            </w:r>
          </w:p>
          <w:p w14:paraId="67DB5DFE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10、最小总反应体积</w:t>
            </w:r>
            <w:r>
              <w:rPr>
                <w:rFonts w:hint="eastAsia" w:ascii="Arial" w:hAnsi="Arial" w:eastAsia="宋体" w:cs="Arial"/>
                <w:sz w:val="21"/>
                <w:szCs w:val="21"/>
                <w:lang w:eastAsia="zh-CN"/>
              </w:rPr>
              <w:t>≤</w:t>
            </w:r>
            <w:r>
              <w:rPr>
                <w:rFonts w:ascii="Arial" w:hAnsi="Arial" w:cs="Arial"/>
                <w:sz w:val="21"/>
                <w:szCs w:val="21"/>
              </w:rPr>
              <w:t>80ul(不含电解质项目)。</w:t>
            </w:r>
          </w:p>
          <w:p w14:paraId="797B0BD4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11、检测波长数量</w:t>
            </w:r>
            <w:r>
              <w:rPr>
                <w:rFonts w:hint="eastAsia" w:ascii="Arial" w:hAnsi="Arial" w:eastAsia="宋体" w:cs="Arial"/>
                <w:sz w:val="21"/>
                <w:szCs w:val="21"/>
                <w:lang w:eastAsia="zh-CN"/>
              </w:rPr>
              <w:t>≥</w:t>
            </w:r>
            <w:r>
              <w:rPr>
                <w:rFonts w:ascii="Arial" w:hAnsi="Arial" w:cs="Arial"/>
                <w:sz w:val="21"/>
                <w:szCs w:val="21"/>
              </w:rPr>
              <w:t>13个，波长范围340–800nm，可进行单</w:t>
            </w:r>
            <w:r>
              <w:rPr>
                <w:rFonts w:hint="eastAsia" w:ascii="Arial" w:hAnsi="Arial" w:eastAsia="宋体" w:cs="Arial"/>
                <w:sz w:val="21"/>
                <w:szCs w:val="21"/>
                <w:lang w:eastAsia="zh-CN"/>
              </w:rPr>
              <w:t>/</w:t>
            </w:r>
            <w:r>
              <w:rPr>
                <w:rFonts w:ascii="Arial" w:hAnsi="Arial" w:cs="Arial"/>
                <w:sz w:val="21"/>
                <w:szCs w:val="21"/>
              </w:rPr>
              <w:t>双波长测试。</w:t>
            </w:r>
          </w:p>
          <w:p w14:paraId="010BBA24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九、全自动真空采血管分拣核收系统</w:t>
            </w:r>
          </w:p>
          <w:p w14:paraId="647B53BF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▲1、分拣类别不少于16+1个类别。</w:t>
            </w:r>
          </w:p>
          <w:p w14:paraId="46842B83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="0" w:leftChars="0" w:firstLine="0" w:firstLineChars="0"/>
              <w:jc w:val="left"/>
              <w:rPr>
                <w:rFonts w:hint="eastAsia" w:ascii="Arial" w:hAnsi="Arial" w:eastAsia="宋体" w:cs="Arial"/>
                <w:sz w:val="21"/>
                <w:szCs w:val="21"/>
                <w:lang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 w:bidi="ar-SA"/>
              </w:rPr>
              <w:t>2、分拣形式要求：按试管条形码信息、试管帽颜色等参数进行自动分拣；</w:t>
            </w:r>
            <w:r>
              <w:rPr>
                <w:rFonts w:hint="eastAsia" w:ascii="Arial" w:hAnsi="Arial" w:cs="Arial"/>
                <w:sz w:val="21"/>
                <w:szCs w:val="21"/>
              </w:rPr>
              <w:t>仅需采用一个分拣通道和一个扫描器即可实现不少于3000支/小时的分拣速度</w:t>
            </w:r>
            <w:r>
              <w:rPr>
                <w:rFonts w:hint="eastAsia" w:ascii="Arial" w:hAnsi="Arial" w:eastAsia="宋体" w:cs="Arial"/>
                <w:sz w:val="21"/>
                <w:szCs w:val="21"/>
                <w:lang w:eastAsia="zh-CN"/>
              </w:rPr>
              <w:t>。</w:t>
            </w:r>
          </w:p>
          <w:p w14:paraId="38555F05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="0" w:leftChars="0" w:firstLine="0" w:firstLineChars="0"/>
              <w:jc w:val="left"/>
              <w:rPr>
                <w:rFonts w:hint="eastAsia" w:ascii="Arial" w:hAnsi="Arial" w:eastAsia="宋体" w:cs="Arial"/>
                <w:sz w:val="21"/>
                <w:szCs w:val="21"/>
                <w:lang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 w:bidi="ar-SA"/>
              </w:rPr>
              <w:t>3、根据科室实际情况，</w:t>
            </w:r>
            <w:r>
              <w:rPr>
                <w:rFonts w:hint="eastAsia" w:ascii="Arial" w:hAnsi="Arial" w:eastAsia="宋体" w:cs="Arial"/>
                <w:sz w:val="21"/>
                <w:szCs w:val="21"/>
                <w:lang w:eastAsia="zh-CN"/>
              </w:rPr>
              <w:t>机身尺寸须满足如下要求：长≤1500mm；宽≤750mm；高≤1100mm。</w:t>
            </w:r>
          </w:p>
          <w:p w14:paraId="4447405C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4、待拣仓容量不少于1000支；拣出仓容量不少于150支；要求分拣仓具备满仓预警功能。</w:t>
            </w:r>
          </w:p>
          <w:p w14:paraId="16A15AE8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5、进管方式要求：试管可通过轨道或气动传输管道自动输入或批量倾倒入待拣仓。</w:t>
            </w:r>
          </w:p>
          <w:p w14:paraId="18316077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6、 出管方式要求：主机将试管根据指定的规则自动导入至相应的分拣仓或溢流仓。</w:t>
            </w:r>
          </w:p>
          <w:p w14:paraId="1FF38546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7、要求具备自动核收标本，记录接收时间和数量，将标本核收并录入LIS系统，实现标本量分析、标本流程监控等功能。</w:t>
            </w:r>
          </w:p>
          <w:p w14:paraId="3606B1CE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8、分拣仓抽屉要求采用L型开放式把手式设计，可套叠摆放，便于作为标本转运抽屉使用；拒绝无法堆叠放置的C型把手。</w:t>
            </w:r>
          </w:p>
          <w:p w14:paraId="023E90D9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9、试管类型要求封闭试管，直径8~19mm、长度75mm~122mm；试管载入方式要求支持不停机载入待分拣标本试管。</w:t>
            </w:r>
          </w:p>
          <w:p w14:paraId="183879E5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▲10、要求可自动探测待拣仓是否有标本输入，实现自动启停分拣功能。</w:t>
            </w:r>
          </w:p>
          <w:p w14:paraId="5FE40546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▲11、要求分拣机抽屉采用塑料一次性注塑成型工艺制造，须提供不少于16个抽屉。</w:t>
            </w:r>
          </w:p>
          <w:p w14:paraId="28C97001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1"/>
                <w:szCs w:val="21"/>
                <w:lang w:val="en-US" w:eastAsia="zh-CN"/>
              </w:rPr>
              <w:t>12、要求具备至少1个外挂式溢流仓：错误条码、超时标本可自动导入到外挂式ERROR仓；</w:t>
            </w:r>
          </w:p>
          <w:p w14:paraId="381D8680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▲13、要求支持不停机取走分拣抽屉的功能，且每个分拣抽屉上方具备独立的缓冲层，当分拣抽屉取出时，缓冲层自动闭合，标本分拣至缓冲层，当分拣抽屉归位时，缓冲层自动打开，缓冲层内标本落入分拣抽屉。</w:t>
            </w:r>
          </w:p>
          <w:p w14:paraId="6B8B61DC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 w:bidi="ar-SA"/>
              </w:rPr>
              <w:t>14、要求具备单机工作及与实验室的其它实验系统连接的功能；要求具备应急接收功能当分拣机发生故障时，可通过扫描设备进行人工扫描核收及分类，实现应急接收功能。</w:t>
            </w:r>
          </w:p>
          <w:p w14:paraId="3BAB09B2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 w:bidi="ar-SA"/>
              </w:rPr>
              <w:t>▲15、要求后端可直接衔接同品牌单标本气动即时传输系统，将标本分送至各品牌血球或生化免疫流水线，实现标本自动上样。</w:t>
            </w:r>
          </w:p>
          <w:p w14:paraId="0C039A51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十、纯水机</w:t>
            </w:r>
          </w:p>
          <w:p w14:paraId="4AF5492C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1、产水量：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200L/H（25℃）        </w:t>
            </w:r>
          </w:p>
          <w:p w14:paraId="4FB646F0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2、产水水质：纯水水质要求：</w:t>
            </w:r>
            <w:r>
              <w:rPr>
                <w:rFonts w:hint="default" w:ascii="Arial" w:hAnsi="Arial" w:eastAsia="宋体" w:cs="Arial"/>
                <w:color w:val="auto"/>
                <w:sz w:val="21"/>
                <w:szCs w:val="21"/>
                <w:lang w:eastAsia="zh-CN"/>
              </w:rPr>
              <w:t>≤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1μS/cm（25℃）（在线监测），颗粒（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＞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0.22μm）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＜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1个/ml，微生物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＜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10cfu/ml，水样质控执行标准：WS507-2016,GB5479。</w:t>
            </w:r>
          </w:p>
          <w:p w14:paraId="68A9DDCA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3、系统回收率：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70％；病毒等清除率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eastAsia="zh-CN"/>
              </w:rPr>
              <w:t>≥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99%；溶解盐清除率98%-99%。</w:t>
            </w:r>
          </w:p>
          <w:p w14:paraId="33F08E29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eastAsia="宋体" w:cs="Arial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4、反渗透膜（RO）进水指标：浊度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＜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0.5NTU、SDI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＜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4、余氯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＜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0.1ppm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eastAsia="zh-CN"/>
              </w:rPr>
              <w:t>。</w:t>
            </w:r>
          </w:p>
          <w:p w14:paraId="3CBF6D58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5. 需满足检验科设备纯水供应需求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eastAsia="zh-CN"/>
              </w:rPr>
              <w:t>。</w:t>
            </w:r>
          </w:p>
          <w:p w14:paraId="77BC24C0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十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、电源</w:t>
            </w:r>
          </w:p>
          <w:p w14:paraId="55858E1E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1、额定容量：80KW</w:t>
            </w:r>
          </w:p>
          <w:p w14:paraId="4B245922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2、额定电压：380Vac(400/415Vac)</w:t>
            </w:r>
          </w:p>
          <w:p w14:paraId="1E709B48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4、收入电压范围：380Vac(400/415Vac)±25%三相四线输入</w:t>
            </w:r>
          </w:p>
          <w:p w14:paraId="6021427E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5、输出电压：：380Vac(400/415Vac)±1%</w:t>
            </w:r>
          </w:p>
          <w:p w14:paraId="2A8D6535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6. 需满足检验科设备不间断供电</w:t>
            </w:r>
          </w:p>
          <w:p w14:paraId="29EBA4E7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auto"/>
                <w:sz w:val="21"/>
                <w:szCs w:val="21"/>
                <w:lang w:val="en-US" w:eastAsia="zh-CN"/>
              </w:rPr>
              <w:t>十二、智慧科研平台</w:t>
            </w:r>
          </w:p>
          <w:p w14:paraId="7B9204EB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数据治理与清洗：能够对临床数据、检验数据进行数据治理与清洗，包括特殊字符的剔除，表格融合以及报告单格式转换等。</w:t>
            </w:r>
          </w:p>
          <w:p w14:paraId="36389BAE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机器学习算法支持：提供十余种即时模型算法，涵盖SVM、Logistic、XGBOOST、LightGBM、RF、MLP等，支持监督学习、非监督学习和半监督学习。</w:t>
            </w:r>
          </w:p>
          <w:p w14:paraId="12DDDBCC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Arial" w:hAnsi="Arial" w:cs="Arial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  <w:t>分析功能全面：涵盖数据整理、基线分析、高级统计分析、智能AI分析、影像组学和智能图表等功能。</w:t>
            </w:r>
          </w:p>
          <w:p w14:paraId="5E132134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color w:val="auto"/>
                <w:sz w:val="21"/>
                <w:szCs w:val="21"/>
                <w:lang w:val="en-US" w:eastAsia="zh-CN"/>
              </w:rPr>
              <w:t>4、操作便捷性：支持Excel、CSV形式的数据上传，提供模拟数据供操作熟悉，用户界面友好，操作流程简洁。</w:t>
            </w:r>
          </w:p>
          <w:p w14:paraId="114B90B9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5、模型应用与验证：支持模型的建立、比较、优化和评价，包括ROC/AUC、Accuracy、灵敏度/特异度等指标的计算，以及模型生成网页链接展示。</w:t>
            </w:r>
          </w:p>
          <w:p w14:paraId="64CD0C94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十三、TQC实验室数智化质量管理平台</w:t>
            </w:r>
          </w:p>
          <w:p w14:paraId="2379D055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1、系统架构与基础能力</w:t>
            </w:r>
          </w:p>
          <w:p w14:paraId="400862F3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▲1.1部署方式：支持本地服务器部署，B/S架构，Chrome 90+浏览器直接访问，无需安装客户端。</w:t>
            </w:r>
          </w:p>
          <w:p w14:paraId="07322711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1.2数据对接：支持数据库视图、API 接口、中间件等多种接入方式，自动实时采集检验结果，无延迟、无遗漏。</w:t>
            </w:r>
          </w:p>
          <w:p w14:paraId="6EAC4E33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1.3权限管理：基于角色细粒度权限控制，支持用户增删改查、密码加密、操作日志全程追溯。</w:t>
            </w:r>
          </w:p>
          <w:p w14:paraId="48751157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1.4数据安全：支持数据备份、异常样本导出、历史数据查询，修改留痕、不可篡改。</w:t>
            </w:r>
          </w:p>
          <w:p w14:paraId="73D13EE2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1.5报警推送：支持桌面弹窗、LIS报警接口、Data-V 大屏、第三方系统对接多维度提醒，实时触达。</w:t>
            </w:r>
          </w:p>
          <w:p w14:paraId="37044B75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 w:firstLineChars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 w:bidi="ar-SA"/>
              </w:rPr>
              <w:t>2、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实时质控（PBRTQC）核心模块</w:t>
            </w:r>
          </w:p>
          <w:p w14:paraId="1A146A67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▲2.1质控原理：基于患者真实样本数据实时质控，无需质控品，无基质效应、零额外耗材成本。</w:t>
            </w:r>
          </w:p>
          <w:p w14:paraId="7C55726E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▲2.2算法模型：采用线性回归调整算法+AI 自动调参，校正年龄、性别、科室、病种等干扰因素，误差检出率显著提升，假阳性率显著下降。</w:t>
            </w:r>
          </w:p>
          <w:p w14:paraId="2485A5B5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▲2.3专家共识符合性：完全匹配 2024 PBRTQC专家共识，支持：(1)线性回归调整降低假阳性；(2)预期假告警率≤0.1%；(3)Box-Cox正态转换；(4)缩尾法处理离群值；(5)EWMA移动均值；(6)计算机模拟自动调参；(7)ANPed模型性能评价。</w:t>
            </w:r>
          </w:p>
          <w:p w14:paraId="25C16A0B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▲2.4性能指标：在允许总误差（TEa）水平下，较传统 PBRTQC 性能平均提升≥50%；假报警率≤0.1%，真报警检出率高。</w:t>
            </w:r>
          </w:p>
          <w:p w14:paraId="53D2E289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2.5模型管理：支持AI模型自动训练、一键导入导出、参数可视化、启停控制、性能报告导出。</w:t>
            </w:r>
          </w:p>
          <w:p w14:paraId="03D3458E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2.6监控展示：实时质控图、RAR预测值、PBR计算值、实际值同屏展示，多设备趋势对比。</w:t>
            </w:r>
          </w:p>
          <w:p w14:paraId="68540589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2.7智能处置：报警联动样本推荐复测，自动接收复测结果，本机/异机结果自动比对；配合流水线支持一键自动线上复测。</w:t>
            </w:r>
          </w:p>
          <w:p w14:paraId="45394E52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2.8试剂追溯：自动记录试剂批瓶号变更，图表同步标注，快速排除试剂波动因素。</w:t>
            </w:r>
          </w:p>
          <w:p w14:paraId="1DDC1082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="0" w:leftChars="0" w:firstLine="0" w:firstLineChars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 w:bidi="ar-SA"/>
              </w:rPr>
              <w:t>3、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仪器比对管理</w:t>
            </w:r>
          </w:p>
          <w:p w14:paraId="67749F15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▲3.1比对模式：支持两两比对、单靶机比对、多靶机均值比对，无需额外试剂与样本。</w:t>
            </w:r>
          </w:p>
          <w:p w14:paraId="7CE974F7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3.2监控指标：基于P25/P50/P75百分位数、平均值，覆盖全浓度范围。</w:t>
            </w:r>
          </w:p>
          <w:p w14:paraId="69E00F04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3.3规则配置：可自定义告警阈值、样本量下限、比对周期、数据截断与科室筛选。</w:t>
            </w:r>
          </w:p>
          <w:p w14:paraId="24FDB901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leftChars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3.4展示输出：实时比对图、历史趋势图、偏差统计、频数分布图、比对报警与数据汇总。</w:t>
            </w:r>
          </w:p>
          <w:p w14:paraId="5867A4C0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 w:bidi="ar-SA"/>
              </w:rPr>
              <w:t>4、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室内质控管理</w:t>
            </w:r>
          </w:p>
          <w:p w14:paraId="4EBDE9E2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4.1质控品管理：支持质控品新增、维护、与仪器关联、多浓度水平配置。</w:t>
            </w:r>
          </w:p>
          <w:p w14:paraId="7AE51FFF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4.2质控规则：内置Westgard多规则，支持跨浓度/跨批次判断，可自定义规则组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1645F39B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4.3图表展示：自动生成L-J质控图，支持多浓度、多时间段查询、失控标注。</w:t>
            </w:r>
          </w:p>
          <w:p w14:paraId="28ED8DD2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4.4靶值管理：支持固定靶值、移动靶值、自动计算均值/SD/CV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可维护历史靶值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1D5798D2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4.5统计报表：自动生成月度质控报告、年度CV统计表、失控统计表、失控原因汇总表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</w:p>
          <w:p w14:paraId="2F5C55BC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一键登记失控原因、纠正措施、预防措施。</w:t>
            </w:r>
          </w:p>
          <w:p w14:paraId="5E5855C9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5、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ISO15189 仪器性能验证</w:t>
            </w:r>
          </w:p>
          <w:p w14:paraId="7C57D7F6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5.1覆盖项目：支持正确度（PTP/标准物质/仪器比对）、精密度、线性范围、可报告范围、参考区间全项验证。</w:t>
            </w:r>
          </w:p>
          <w:p w14:paraId="42C6C1D6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5.2数据自动采集、计算、分析、判断，一键生成报告，无需人工整理。</w:t>
            </w:r>
          </w:p>
          <w:p w14:paraId="5A74D1F3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5.3计划管理：支持验证计划新增、复制、编辑、启停，按仪器/年份/轮次管理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0C2FA90A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5.4参数配置：支持项目通用参数批量设置，允许偏倚、不精密度等指标自定义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048E72CB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5.5报告输出：生成PDF/Excel标准化报告，符合ISO15189与CNAS-GL037要求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345D83D2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十四、智慧实验室管理系统</w:t>
            </w:r>
          </w:p>
          <w:p w14:paraId="12E059B4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1、提供物资全生命周期管理（计划、申购、入库、出库、使用、更新、停用）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71220366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2、提供库存报警提醒功能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效期、超限等），并支持对过期物资执行报损流程</w:t>
            </w:r>
          </w:p>
          <w:p w14:paraId="0564F444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3、提供各类物资（申领、入库、出库、使用、部门等）综合图表智能分析、提供统计报表分析</w:t>
            </w: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  <w:p w14:paraId="52B887D8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4、支持移动端扫码功能（入库、出库、使用），支持物资借用流程管理（借入、借出），并能执行物资管理流程（入库、出库）。</w:t>
            </w:r>
          </w:p>
          <w:p w14:paraId="0BEA5459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▲5、提供符合ISO15189要求的评价功能并形成信息化评价记录。</w:t>
            </w:r>
          </w:p>
          <w:p w14:paraId="6458274A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十四、本项采购为交钥匙工程，完成医院未尽装修事项。</w:t>
            </w:r>
          </w:p>
          <w:p w14:paraId="204B1BE9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十五、配置清单</w:t>
            </w:r>
          </w:p>
          <w:tbl>
            <w:tblPr>
              <w:tblStyle w:val="38"/>
              <w:tblW w:w="706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05"/>
              <w:gridCol w:w="4617"/>
              <w:gridCol w:w="1339"/>
            </w:tblGrid>
            <w:tr w14:paraId="005D2A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46A67B36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5849CAE6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模块名称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7C247B30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数量</w:t>
                  </w:r>
                </w:p>
              </w:tc>
            </w:tr>
            <w:tr w14:paraId="3FACF7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6ABEB7BE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6B63DF43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进样单元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6B3D03AE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1套</w:t>
                  </w:r>
                </w:p>
              </w:tc>
            </w:tr>
            <w:tr w14:paraId="1A7E4F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0FA92432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68956435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离心单元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66A4CBBF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1套</w:t>
                  </w:r>
                </w:p>
              </w:tc>
            </w:tr>
            <w:tr w14:paraId="4366C8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12D55264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639635DD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去盖单元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6CBDFE18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1套</w:t>
                  </w:r>
                </w:p>
              </w:tc>
            </w:tr>
            <w:tr w14:paraId="1EB90D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220B1423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3915A02C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加盖单元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0A83FBE6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1套</w:t>
                  </w:r>
                </w:p>
              </w:tc>
            </w:tr>
            <w:tr w14:paraId="49C6D6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6D7AEE6C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7E54EB2B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hint="eastAsia" w:ascii="Arial" w:hAnsi="Arial" w:cs="Arial"/>
                      <w:sz w:val="21"/>
                      <w:szCs w:val="21"/>
                    </w:rPr>
                    <w:t>出样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单元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1EB27BDD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1套</w:t>
                  </w:r>
                </w:p>
              </w:tc>
            </w:tr>
            <w:tr w14:paraId="39A0202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28E97D12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6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0D19A363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hint="eastAsia" w:ascii="Arial" w:hAnsi="Arial" w:cs="Arial"/>
                      <w:sz w:val="21"/>
                      <w:szCs w:val="21"/>
                    </w:rPr>
                  </w:pPr>
                  <w:r>
                    <w:rPr>
                      <w:rFonts w:hint="eastAsia" w:ascii="Arial" w:hAnsi="Arial" w:cs="Arial"/>
                      <w:sz w:val="21"/>
                      <w:szCs w:val="21"/>
                    </w:rPr>
                    <w:t>样本存储单元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06F76228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1套</w:t>
                  </w:r>
                </w:p>
              </w:tc>
            </w:tr>
            <w:tr w14:paraId="28515D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7623D882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7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4C4880EB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轨道系统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0A5484EA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1套</w:t>
                  </w:r>
                </w:p>
              </w:tc>
            </w:tr>
            <w:tr w14:paraId="303282B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464706E0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8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481407D1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数据管理系统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37261E95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1套</w:t>
                  </w:r>
                </w:p>
              </w:tc>
            </w:tr>
            <w:tr w14:paraId="25400FB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131849DE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9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7C33B97C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全自动生化分析仪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0DBA7FD4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1套</w:t>
                  </w:r>
                </w:p>
              </w:tc>
            </w:tr>
            <w:tr w14:paraId="6F8C8FE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56682D89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6C86FABF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全自动真空采血管分拣核收系统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3BCE58BF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cs="Arial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1套</w:t>
                  </w:r>
                </w:p>
              </w:tc>
            </w:tr>
            <w:tr w14:paraId="2F6FF3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5548BF4F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cs="Arial"/>
                      <w:sz w:val="21"/>
                      <w:szCs w:val="21"/>
                      <w:lang w:val="en-US" w:eastAsia="zh-CN"/>
                    </w:rPr>
                    <w:t>11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722FCDCF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hint="eastAsia" w:ascii="Arial" w:hAnsi="Arial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color w:val="auto"/>
                      <w:sz w:val="21"/>
                      <w:szCs w:val="21"/>
                      <w:lang w:val="en-US" w:eastAsia="zh-CN"/>
                    </w:rPr>
                    <w:t>智慧实验室管理系统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62CC1923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1套</w:t>
                  </w:r>
                </w:p>
              </w:tc>
            </w:tr>
            <w:tr w14:paraId="467262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015443C7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cs="Arial"/>
                      <w:sz w:val="21"/>
                      <w:szCs w:val="21"/>
                      <w:highlight w:val="none"/>
                      <w:lang w:val="en-US" w:eastAsia="zh-CN"/>
                    </w:rPr>
                    <w:t>12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2A0FD6AA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hint="default" w:ascii="Arial" w:hAnsi="Arial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cs="Arial"/>
                      <w:sz w:val="21"/>
                      <w:szCs w:val="21"/>
                      <w:highlight w:val="none"/>
                      <w:lang w:val="en-US" w:eastAsia="zh-CN"/>
                    </w:rPr>
                    <w:t>低温离心机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061CE2AA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4台</w:t>
                  </w:r>
                </w:p>
              </w:tc>
            </w:tr>
            <w:tr w14:paraId="324EFA3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4A4D4FC7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13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52EB507D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/>
                      <w:kern w:val="2"/>
                      <w:sz w:val="22"/>
                      <w:szCs w:val="22"/>
                      <w:highlight w:val="none"/>
                    </w:rPr>
                    <w:t>超高速离心机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1C0CAF5B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4台</w:t>
                  </w:r>
                </w:p>
              </w:tc>
            </w:tr>
            <w:tr w14:paraId="0C7E72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04D096DE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  <w:highlight w:val="none"/>
                    </w:rPr>
                    <w:t>1</w:t>
                  </w: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4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1FA5CBAF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展示柜冰箱（2~8℃）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18834B04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cs="Arial"/>
                      <w:sz w:val="21"/>
                      <w:szCs w:val="21"/>
                      <w:highlight w:val="none"/>
                      <w:lang w:val="en-US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6台</w:t>
                  </w:r>
                </w:p>
              </w:tc>
            </w:tr>
            <w:tr w14:paraId="45D7AB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0BC058CF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  <w:highlight w:val="none"/>
                    </w:rPr>
                    <w:t>1</w:t>
                  </w: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5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148DDE1E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eastAsia="zh-CN"/>
                    </w:rPr>
                  </w:pPr>
                  <w:r>
                    <w:rPr>
                      <w:rFonts w:hint="eastAsia" w:ascii="Arial" w:hAnsi="Arial" w:cs="Arial"/>
                      <w:sz w:val="21"/>
                      <w:szCs w:val="21"/>
                      <w:highlight w:val="none"/>
                    </w:rPr>
                    <w:t>双层分区温控冰箱</w:t>
                  </w: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eastAsia="zh-CN"/>
                    </w:rPr>
                    <w:t>（满足2~8℃、-15~-25℃）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72121B74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6台</w:t>
                  </w:r>
                </w:p>
              </w:tc>
            </w:tr>
            <w:tr w14:paraId="4776BF0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17EA2D0B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16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4A140E1C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ascii="Arial" w:hAnsi="Arial" w:cs="Arial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Arial" w:hAnsi="Arial" w:cs="Arial"/>
                      <w:sz w:val="21"/>
                      <w:szCs w:val="21"/>
                      <w:highlight w:val="none"/>
                    </w:rPr>
                    <w:t>电子滚动展示屏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569DD62E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2套</w:t>
                  </w:r>
                </w:p>
              </w:tc>
            </w:tr>
            <w:tr w14:paraId="689D02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53551678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17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313D93D9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hint="default" w:ascii="Arial" w:hAnsi="Arial" w:eastAsia="宋体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中文报告工作站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75F90B4B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10套</w:t>
                  </w:r>
                </w:p>
              </w:tc>
            </w:tr>
            <w:tr w14:paraId="563E74B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3E5248D1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18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791B3F67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打印机（支持双面、彩打、复印）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137C40B5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val="en-US" w:eastAsia="zh-CN"/>
                    </w:rPr>
                    <w:t>2台</w:t>
                  </w:r>
                </w:p>
              </w:tc>
            </w:tr>
            <w:tr w14:paraId="7CCFFC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6687B1D3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19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601FDA5E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电视大屏（支持TAT时限、危急值提示等内容）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37ED67E5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4台</w:t>
                  </w:r>
                </w:p>
              </w:tc>
            </w:tr>
            <w:tr w14:paraId="66B0C9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7E457F3E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20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7BEDAA34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空气消毒机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4404990D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10台</w:t>
                  </w:r>
                </w:p>
              </w:tc>
            </w:tr>
            <w:tr w14:paraId="4836F0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09B0C38A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21</w:t>
                  </w:r>
                </w:p>
              </w:tc>
              <w:tc>
                <w:tcPr>
                  <w:tcW w:w="4617" w:type="dxa"/>
                  <w:shd w:val="clear" w:color="auto" w:fill="auto"/>
                  <w:vAlign w:val="top"/>
                </w:tcPr>
                <w:p w14:paraId="1A451FF9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 w:rightChars="0"/>
                    <w:rPr>
                      <w:rFonts w:hint="default" w:ascii="Arial" w:hAnsi="Arial" w:eastAsia="Calibri" w:cs="Times New Roman"/>
                      <w:spacing w:val="4"/>
                      <w:kern w:val="2"/>
                      <w:sz w:val="22"/>
                      <w:szCs w:val="22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highlight w:val="none"/>
                      <w:lang w:val="en-US" w:eastAsia="zh-CN"/>
                    </w:rPr>
                    <w:t>不锈钢实验凳</w:t>
                  </w:r>
                </w:p>
              </w:tc>
              <w:tc>
                <w:tcPr>
                  <w:tcW w:w="1339" w:type="dxa"/>
                  <w:shd w:val="clear" w:color="auto" w:fill="auto"/>
                  <w:vAlign w:val="top"/>
                </w:tcPr>
                <w:p w14:paraId="22C310F6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 w:rightChars="0"/>
                    <w:jc w:val="center"/>
                    <w:rPr>
                      <w:rFonts w:hint="default" w:ascii="Arial" w:hAnsi="Arial" w:eastAsia="Calibri" w:cs="Arial"/>
                      <w:spacing w:val="4"/>
                      <w:kern w:val="2"/>
                      <w:sz w:val="22"/>
                      <w:szCs w:val="22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highlight w:val="none"/>
                      <w:lang w:val="en-US" w:eastAsia="zh-CN"/>
                    </w:rPr>
                    <w:t>50</w:t>
                  </w: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  <w:highlight w:val="none"/>
                    </w:rPr>
                    <w:t>台</w:t>
                  </w:r>
                </w:p>
              </w:tc>
            </w:tr>
            <w:tr w14:paraId="3C39CA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9" w:hRule="atLeast"/>
                <w:jc w:val="center"/>
              </w:trPr>
              <w:tc>
                <w:tcPr>
                  <w:tcW w:w="1105" w:type="dxa"/>
                  <w:shd w:val="clear" w:color="auto" w:fill="auto"/>
                  <w:vAlign w:val="center"/>
                </w:tcPr>
                <w:p w14:paraId="5F02EE17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22</w:t>
                  </w:r>
                </w:p>
              </w:tc>
              <w:tc>
                <w:tcPr>
                  <w:tcW w:w="4617" w:type="dxa"/>
                  <w:shd w:val="clear" w:color="auto" w:fill="auto"/>
                  <w:vAlign w:val="center"/>
                </w:tcPr>
                <w:p w14:paraId="753918C0">
                  <w:pPr>
                    <w:pStyle w:val="37"/>
                    <w:spacing w:line="240" w:lineRule="atLeast"/>
                    <w:ind w:firstLine="0"/>
                    <w:jc w:val="left"/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智能运送物品机器人（支持低温保存）</w:t>
                  </w:r>
                </w:p>
              </w:tc>
              <w:tc>
                <w:tcPr>
                  <w:tcW w:w="1339" w:type="dxa"/>
                  <w:shd w:val="clear" w:color="auto" w:fill="auto"/>
                  <w:vAlign w:val="center"/>
                </w:tcPr>
                <w:p w14:paraId="6187EBBC">
                  <w:pPr>
                    <w:pStyle w:val="37"/>
                    <w:spacing w:line="240" w:lineRule="atLeast"/>
                    <w:ind w:firstLine="0"/>
                    <w:jc w:val="center"/>
                    <w:rPr>
                      <w:rFonts w:hint="default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highlight w:val="none"/>
                      <w:lang w:val="en-US" w:eastAsia="zh-CN"/>
                    </w:rPr>
                    <w:t>2台</w:t>
                  </w:r>
                </w:p>
              </w:tc>
            </w:tr>
          </w:tbl>
          <w:p w14:paraId="7F51D4B1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ind w:leftChars="0"/>
              <w:jc w:val="both"/>
              <w:rPr>
                <w:rFonts w:hint="default" w:ascii="Arial" w:hAnsi="Arial" w:cs="Arial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4" w:type="dxa"/>
            <w:vAlign w:val="center"/>
          </w:tcPr>
          <w:p w14:paraId="25B4B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eastAsia="宋体" w:cs="Arial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46" w:type="dxa"/>
            <w:vAlign w:val="center"/>
          </w:tcPr>
          <w:p w14:paraId="766D3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eastAsia="宋体" w:cs="Arial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  <w:lang w:val="en-US" w:eastAsia="zh-CN"/>
              </w:rPr>
              <w:t>套</w:t>
            </w:r>
          </w:p>
        </w:tc>
      </w:tr>
      <w:tr w14:paraId="58213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0" w:hRule="atLeast"/>
          <w:jc w:val="center"/>
        </w:trPr>
        <w:tc>
          <w:tcPr>
            <w:tcW w:w="346" w:type="dxa"/>
            <w:vAlign w:val="center"/>
          </w:tcPr>
          <w:p w14:paraId="1ECAB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eastAsia" w:ascii="Arial" w:hAnsi="Arial" w:eastAsia="宋体" w:cs="Arial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475" w:type="dxa"/>
            <w:vAlign w:val="center"/>
          </w:tcPr>
          <w:p w14:paraId="62D5C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cs="Arial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z w:val="21"/>
                <w:szCs w:val="21"/>
                <w:lang w:val="en-US" w:eastAsia="zh-CN"/>
              </w:rPr>
              <w:t>全自动免疫发光分析仪</w:t>
            </w:r>
          </w:p>
        </w:tc>
        <w:tc>
          <w:tcPr>
            <w:tcW w:w="8648" w:type="dxa"/>
            <w:vAlign w:val="center"/>
          </w:tcPr>
          <w:p w14:paraId="7A61BC7C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▲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1、检测速度：单机测定≥600测试/小时。</w:t>
            </w:r>
          </w:p>
          <w:p w14:paraId="3C187364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2、检测原理：磁微粒化学发光法。</w:t>
            </w:r>
          </w:p>
          <w:p w14:paraId="04D5DBD8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3、轨道式进样，急诊样本优先通道，支持模块装载样本≥150个，可持续追加。</w:t>
            </w:r>
          </w:p>
          <w:p w14:paraId="5DCDB5AD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▲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4、加样针材质：钢针，具备吸液检测、空吸检测、防撞、凝块检测功能。</w:t>
            </w:r>
          </w:p>
          <w:p w14:paraId="3171C9A7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5、携带污染率≤0.1ppm。</w:t>
            </w:r>
          </w:p>
          <w:p w14:paraId="43A58D77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▲6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、反应杯装载一次最大添加≥3600个，支持连续供给、随时添加。</w:t>
            </w:r>
          </w:p>
          <w:p w14:paraId="609D46DC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7、单模块试剂位≥50个，独立制冷2-8℃。</w:t>
            </w:r>
          </w:p>
          <w:p w14:paraId="2D5D5D33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8、分析仪配套项目≥140项。</w:t>
            </w:r>
          </w:p>
          <w:p w14:paraId="5950A967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9、支持不停机更换试剂，通过RFID扫码装载，记录试剂使用情况。</w:t>
            </w:r>
          </w:p>
          <w:p w14:paraId="32B65DD5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10、</w:t>
            </w: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 w:bidi="ar-SA"/>
              </w:rPr>
              <w:t>支持同时存放两套底物液，支持不停机更换和自动切换。</w:t>
            </w:r>
          </w:p>
          <w:p w14:paraId="6C3C3B81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11、支持多个模块联机使用。</w:t>
            </w:r>
          </w:p>
          <w:p w14:paraId="05FFBC41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12、孵育位数量≥300个。</w:t>
            </w:r>
          </w:p>
          <w:p w14:paraId="38936F74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13、配置清单（两台设备合计配置清单）</w:t>
            </w:r>
            <w:bookmarkStart w:id="1" w:name="_GoBack"/>
            <w:bookmarkEnd w:id="1"/>
          </w:p>
          <w:tbl>
            <w:tblPr>
              <w:tblStyle w:val="39"/>
              <w:tblpPr w:leftFromText="180" w:rightFromText="180" w:vertAnchor="text" w:horzAnchor="page" w:tblpX="820" w:tblpY="92"/>
              <w:tblOverlap w:val="never"/>
              <w:tblW w:w="704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64"/>
              <w:gridCol w:w="4626"/>
              <w:gridCol w:w="1350"/>
            </w:tblGrid>
            <w:tr w14:paraId="59A0CD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0A1FA78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序号</w:t>
                  </w:r>
                </w:p>
              </w:tc>
              <w:tc>
                <w:tcPr>
                  <w:tcW w:w="46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5F6E011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配件名称</w:t>
                  </w:r>
                </w:p>
              </w:tc>
              <w:tc>
                <w:tcPr>
                  <w:tcW w:w="13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9876DBE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数量</w:t>
                  </w:r>
                </w:p>
              </w:tc>
            </w:tr>
            <w:tr w14:paraId="28F0FB1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D6AB6C2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6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496DE5C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hint="default" w:ascii="Arial" w:hAnsi="Arial" w:cs="Arial" w:eastAsiaTheme="minorEastAsia"/>
                      <w:sz w:val="21"/>
                      <w:szCs w:val="21"/>
                      <w:lang w:val="en-US" w:eastAsia="zh-CN"/>
                    </w:rPr>
                    <w:t>全自动免疫发光分析仪</w:t>
                  </w:r>
                </w:p>
              </w:tc>
              <w:tc>
                <w:tcPr>
                  <w:tcW w:w="13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E502EC7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2台</w:t>
                  </w:r>
                </w:p>
              </w:tc>
            </w:tr>
            <w:tr w14:paraId="0B84468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A28A8C9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6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AB34541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</w:rPr>
                    <w:t>低温离心机</w:t>
                  </w:r>
                </w:p>
              </w:tc>
              <w:tc>
                <w:tcPr>
                  <w:tcW w:w="13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A0C9478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2台</w:t>
                  </w:r>
                </w:p>
              </w:tc>
            </w:tr>
            <w:tr w14:paraId="11172A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36AD2EB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6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91D770A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ascii="Arial" w:hAnsi="Arial"/>
                      <w:kern w:val="2"/>
                      <w:sz w:val="22"/>
                      <w:szCs w:val="22"/>
                    </w:rPr>
                    <w:t>超高速离心机</w:t>
                  </w:r>
                </w:p>
              </w:tc>
              <w:tc>
                <w:tcPr>
                  <w:tcW w:w="13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66A376C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2台</w:t>
                  </w:r>
                </w:p>
              </w:tc>
            </w:tr>
            <w:tr w14:paraId="1BDA26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E473B8B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eastAsia" w:ascii="Arial" w:hAnsi="Arial" w:eastAsia="宋体" w:cs="Arial"/>
                      <w:kern w:val="2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  <w:lang w:val="en-US" w:eastAsia="zh-CN"/>
                    </w:rPr>
                    <w:t>4</w:t>
                  </w:r>
                </w:p>
              </w:tc>
              <w:tc>
                <w:tcPr>
                  <w:tcW w:w="46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3422E2C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ascii="Arial" w:hAnsi="Arial"/>
                      <w:kern w:val="2"/>
                      <w:sz w:val="22"/>
                      <w:szCs w:val="22"/>
                    </w:rPr>
                    <w:t>低速离心机</w:t>
                  </w:r>
                </w:p>
              </w:tc>
              <w:tc>
                <w:tcPr>
                  <w:tcW w:w="13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BBFA895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2台</w:t>
                  </w:r>
                </w:p>
              </w:tc>
            </w:tr>
            <w:tr w14:paraId="68D055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7680E88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eastAsia" w:ascii="Arial" w:hAnsi="Arial" w:eastAsia="宋体" w:cs="Arial"/>
                      <w:kern w:val="2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  <w:lang w:val="en-US" w:eastAsia="zh-CN"/>
                    </w:rPr>
                    <w:t>5</w:t>
                  </w:r>
                </w:p>
              </w:tc>
              <w:tc>
                <w:tcPr>
                  <w:tcW w:w="46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8AE63C9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ascii="Arial" w:hAnsi="Arial" w:cs="Arial"/>
                      <w:sz w:val="21"/>
                      <w:szCs w:val="21"/>
                    </w:rPr>
                    <w:t>双层分区温控冰箱</w:t>
                  </w:r>
                  <w:r>
                    <w:rPr>
                      <w:rFonts w:hint="eastAsia" w:ascii="Arial" w:hAnsi="Arial" w:eastAsia="宋体" w:cs="Arial"/>
                      <w:sz w:val="21"/>
                      <w:szCs w:val="21"/>
                      <w:lang w:eastAsia="zh-CN"/>
                    </w:rPr>
                    <w:t>（满足2~8℃、-15~-25℃）</w:t>
                  </w:r>
                </w:p>
              </w:tc>
              <w:tc>
                <w:tcPr>
                  <w:tcW w:w="13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A04533A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2台</w:t>
                  </w:r>
                </w:p>
              </w:tc>
            </w:tr>
            <w:tr w14:paraId="267686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05584B2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eastAsia" w:ascii="Arial" w:hAnsi="Arial" w:eastAsia="宋体" w:cs="Arial"/>
                      <w:kern w:val="2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  <w:lang w:val="en-US" w:eastAsia="zh-CN"/>
                    </w:rPr>
                    <w:t>6</w:t>
                  </w:r>
                </w:p>
              </w:tc>
              <w:tc>
                <w:tcPr>
                  <w:tcW w:w="46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C58B34D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</w:rPr>
                    <w:t>智能温控小冰箱</w:t>
                  </w: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eastAsia="zh-CN"/>
                    </w:rPr>
                    <w:t>（</w:t>
                  </w: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支持</w:t>
                  </w: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</w:rPr>
                    <w:t>APP或按时间段调节冰箱温度</w:t>
                  </w: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eastAsia="zh-CN"/>
                    </w:rPr>
                    <w:t>）</w:t>
                  </w:r>
                </w:p>
              </w:tc>
              <w:tc>
                <w:tcPr>
                  <w:tcW w:w="13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029A23A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4台</w:t>
                  </w:r>
                </w:p>
              </w:tc>
            </w:tr>
            <w:tr w14:paraId="52F572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A2AE9B2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  <w:lang w:val="en-US" w:eastAsia="zh-CN"/>
                    </w:rPr>
                    <w:t>7</w:t>
                  </w:r>
                </w:p>
              </w:tc>
              <w:tc>
                <w:tcPr>
                  <w:tcW w:w="46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FA745F8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eastAsia" w:ascii="Arial" w:hAnsi="Arial" w:eastAsia="宋体" w:cs="Arial"/>
                      <w:kern w:val="2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eastAsia" w:eastAsia="宋体"/>
                      <w:kern w:val="2"/>
                      <w:sz w:val="22"/>
                      <w:szCs w:val="22"/>
                      <w:lang w:val="en-US" w:eastAsia="zh-CN"/>
                    </w:rPr>
                    <w:t>中文报告工作站</w:t>
                  </w:r>
                </w:p>
              </w:tc>
              <w:tc>
                <w:tcPr>
                  <w:tcW w:w="13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5BCBA87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cs="Arial"/>
                      <w:kern w:val="2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6套</w:t>
                  </w:r>
                </w:p>
              </w:tc>
            </w:tr>
            <w:tr w14:paraId="7363A7C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B7B195B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eastAsia" w:ascii="Arial" w:hAnsi="Arial" w:eastAsia="宋体" w:cs="Arial"/>
                      <w:kern w:val="2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eastAsia" w:cs="Arial"/>
                      <w:kern w:val="2"/>
                      <w:sz w:val="22"/>
                      <w:szCs w:val="22"/>
                      <w:lang w:val="en-US" w:eastAsia="zh-CN"/>
                    </w:rPr>
                    <w:t>8</w:t>
                  </w:r>
                </w:p>
              </w:tc>
              <w:tc>
                <w:tcPr>
                  <w:tcW w:w="46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645C97A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条码打印机及扫码枪</w:t>
                  </w:r>
                </w:p>
              </w:tc>
              <w:tc>
                <w:tcPr>
                  <w:tcW w:w="13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54B9A4E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cs="Arial"/>
                      <w:kern w:val="2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6套</w:t>
                  </w:r>
                </w:p>
              </w:tc>
            </w:tr>
            <w:tr w14:paraId="7357BF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0CD1C7C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cs="Arial"/>
                      <w:kern w:val="2"/>
                      <w:sz w:val="22"/>
                      <w:szCs w:val="22"/>
                      <w:lang w:val="en-US" w:eastAsia="zh-CN"/>
                    </w:rPr>
                    <w:t>9</w:t>
                  </w:r>
                </w:p>
              </w:tc>
              <w:tc>
                <w:tcPr>
                  <w:tcW w:w="462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BE9B019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不锈钢实验凳</w:t>
                  </w:r>
                </w:p>
              </w:tc>
              <w:tc>
                <w:tcPr>
                  <w:tcW w:w="13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A3DD51E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50台</w:t>
                  </w:r>
                </w:p>
              </w:tc>
            </w:tr>
          </w:tbl>
          <w:p w14:paraId="40BA9253">
            <w:pPr>
              <w:pStyle w:val="3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ind w:leftChars="0"/>
              <w:jc w:val="center"/>
              <w:rPr>
                <w:rFonts w:hint="default" w:ascii="Arial" w:hAnsi="Arial" w:cs="Arial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4" w:type="dxa"/>
            <w:vAlign w:val="center"/>
          </w:tcPr>
          <w:p w14:paraId="48CD1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cs="Arial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346" w:type="dxa"/>
            <w:vAlign w:val="center"/>
          </w:tcPr>
          <w:p w14:paraId="0F55F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color w:val="auto"/>
                <w:kern w:val="0"/>
                <w:szCs w:val="21"/>
                <w:highlight w:val="none"/>
                <w:lang w:val="en-US" w:eastAsia="zh-CN"/>
              </w:rPr>
              <w:t>台</w:t>
            </w:r>
          </w:p>
        </w:tc>
      </w:tr>
      <w:tr w14:paraId="0A0C1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3" w:hRule="atLeast"/>
          <w:jc w:val="center"/>
        </w:trPr>
        <w:tc>
          <w:tcPr>
            <w:tcW w:w="346" w:type="dxa"/>
            <w:vAlign w:val="center"/>
          </w:tcPr>
          <w:p w14:paraId="2CAB8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475" w:type="dxa"/>
            <w:vAlign w:val="center"/>
          </w:tcPr>
          <w:p w14:paraId="1C363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cs="Arial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z w:val="21"/>
                <w:szCs w:val="21"/>
                <w:lang w:val="en-US" w:eastAsia="zh-CN"/>
              </w:rPr>
              <w:t>全自动微生物鉴定及药敏分析系统</w:t>
            </w:r>
          </w:p>
        </w:tc>
        <w:tc>
          <w:tcPr>
            <w:tcW w:w="8648" w:type="dxa"/>
            <w:vAlign w:val="center"/>
          </w:tcPr>
          <w:p w14:paraId="28A1779C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1、鉴定原理：采用生化反应法，药敏检测采用比色法或比浊法。</w:t>
            </w:r>
          </w:p>
          <w:p w14:paraId="78F5B10B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▲2、仪器容量：可同时容纳≥60个测试卡，具备加样模块、孵育模块、检测模块，动态连续监测结果。</w:t>
            </w:r>
          </w:p>
          <w:p w14:paraId="70EB7EED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3、药敏种类：根据CLSI标准、EUCAST标准及相关指导性文件分析MIC，能够报告MIC和S、I、R敏感度。</w:t>
            </w:r>
          </w:p>
          <w:p w14:paraId="39FF16E4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4、具备条码阅读器模块自动识别板卡信息。</w:t>
            </w:r>
          </w:p>
          <w:p w14:paraId="28828638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▲5、具备加样模块、孵育模块、检测模块，动态连续监测结果。</w:t>
            </w:r>
          </w:p>
          <w:p w14:paraId="6F275BD1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6、检测系统</w:t>
            </w:r>
          </w:p>
          <w:p w14:paraId="7BC78C94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6.1、板卡≥120孔，多浓度包被，可检测真实MIC值。</w:t>
            </w:r>
          </w:p>
          <w:p w14:paraId="31690D1E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6.2、CARSS网技术方案必须监测的药物全覆盖、折点全覆盖。</w:t>
            </w:r>
          </w:p>
          <w:p w14:paraId="011BF87B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6.3、链球菌药敏板卡包括肺炎链球菌、无乳链球菌、草绿色链球菌及其它β-溶血链球菌；抗生素检测包括青霉素（覆盖CLSI最新判断折点）、替加环素、诱导克林霉素耐药实验等。</w:t>
            </w:r>
          </w:p>
          <w:p w14:paraId="29184999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▲6.4、包含配套真菌药敏卡包被抗生素药物≥9种，包含泊沙康唑、伊曲康唑、阿尼芬净等，可实现对假丝酵母菌属、隐球菌属、曲霉菌属的药敏检测。</w:t>
            </w:r>
          </w:p>
          <w:p w14:paraId="23CC2DEE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6.5、药敏卡包被具备符合专家共识治疗方案的一线抗菌药物，包括头孢哌酮/舒巴坦、多粘菌素B以及应用于阳性菌的替加环素、万古霉素、利奈唑胺、达托霉素等。</w:t>
            </w:r>
          </w:p>
          <w:p w14:paraId="16032C52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7、专家系统</w:t>
            </w:r>
          </w:p>
          <w:p w14:paraId="12C81571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7.1、专家系统可依据最新CLSI标准或EUCAST标准对药物的敏感性进行判断或修正、并提示不常见耐药表型、支持专家规则自定义。</w:t>
            </w:r>
          </w:p>
          <w:p w14:paraId="20EB46C0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7.2、支持检测≥20种临床常见耐药表型，至少包括MRSA、D试验、VISA、VRSA、VRE、PRSP、HLAR、ESBL、CRE、FOX、CRAB、CRPA、CRKP。</w:t>
            </w:r>
          </w:p>
          <w:p w14:paraId="7D05FE27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8、软件功能</w:t>
            </w:r>
          </w:p>
          <w:p w14:paraId="519D7DF4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8.1、支持自定义报告模板，实现与LIS数据交互、条码跟踪。</w:t>
            </w:r>
          </w:p>
          <w:p w14:paraId="55CE2F4B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8.2、支持对药物、菌株、样本类型、试验结果的高级检索、模糊匹配。</w:t>
            </w:r>
          </w:p>
          <w:p w14:paraId="7034AE65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1"/>
                <w:szCs w:val="21"/>
                <w:lang w:val="en-US" w:eastAsia="zh-CN"/>
              </w:rPr>
              <w:t>9、配置清单</w:t>
            </w:r>
          </w:p>
          <w:tbl>
            <w:tblPr>
              <w:tblStyle w:val="39"/>
              <w:tblpPr w:leftFromText="180" w:rightFromText="180" w:vertAnchor="text" w:horzAnchor="page" w:tblpX="820" w:tblpY="92"/>
              <w:tblOverlap w:val="never"/>
              <w:tblW w:w="681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64"/>
              <w:gridCol w:w="4296"/>
              <w:gridCol w:w="1455"/>
            </w:tblGrid>
            <w:tr w14:paraId="26FAC20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58E2254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序号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BDC9CD6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配件名称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FA24AFD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数量</w:t>
                  </w:r>
                </w:p>
              </w:tc>
            </w:tr>
            <w:tr w14:paraId="5F47A4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7E8574B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B78179C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血培养箱（完整的控制模块+孵育模块+240孔位）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772F7D3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1台</w:t>
                  </w:r>
                </w:p>
              </w:tc>
            </w:tr>
            <w:tr w14:paraId="7B1CA3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2E0B250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99B56B9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二氧化碳培养箱（含该培养箱配套使用的二氧化碳气瓶、减压器、阀门等）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782445E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4台</w:t>
                  </w:r>
                </w:p>
              </w:tc>
            </w:tr>
            <w:tr w14:paraId="725518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17B5B09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BD37C98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eastAsia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烤片机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6E712A7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4台</w:t>
                  </w:r>
                </w:p>
              </w:tc>
            </w:tr>
            <w:tr w14:paraId="6C982D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C48F89A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eastAsia" w:ascii="Arial" w:hAnsi="Arial" w:eastAsia="宋体" w:cs="Arial"/>
                      <w:kern w:val="2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  <w:lang w:val="en-US" w:eastAsia="zh-CN"/>
                    </w:rPr>
                    <w:t>4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4E946D4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电灼灭菌器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C50B832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6台</w:t>
                  </w:r>
                </w:p>
              </w:tc>
            </w:tr>
            <w:tr w14:paraId="45AF73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7857755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eastAsia" w:ascii="Arial" w:hAnsi="Arial" w:eastAsia="宋体" w:cs="Arial"/>
                      <w:kern w:val="2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  <w:lang w:val="en-US" w:eastAsia="zh-CN"/>
                    </w:rPr>
                    <w:t>5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1AA7A27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高压灭菌器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0488351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4台</w:t>
                  </w:r>
                </w:p>
              </w:tc>
            </w:tr>
            <w:tr w14:paraId="6810EA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BFCA103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eastAsia" w:ascii="Arial" w:hAnsi="Arial" w:eastAsia="宋体" w:cs="Arial"/>
                      <w:kern w:val="2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  <w:lang w:val="en-US" w:eastAsia="zh-CN"/>
                    </w:rPr>
                    <w:t>6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CAE8E00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盐水分配器（耐高压）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F6530DF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2台</w:t>
                  </w:r>
                </w:p>
              </w:tc>
            </w:tr>
            <w:tr w14:paraId="1B75BF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D2A20D1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cs="Arial"/>
                      <w:kern w:val="2"/>
                      <w:sz w:val="22"/>
                      <w:szCs w:val="22"/>
                      <w:lang w:val="en-US" w:eastAsia="zh-CN"/>
                    </w:rPr>
                    <w:t>7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7B0ADB4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干式恒温器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BAE93D2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2台</w:t>
                  </w:r>
                </w:p>
              </w:tc>
            </w:tr>
            <w:tr w14:paraId="598B9F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21D0C0A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8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F1CD683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条码打印机及扫码枪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8290B15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6套</w:t>
                  </w:r>
                </w:p>
              </w:tc>
            </w:tr>
            <w:tr w14:paraId="24EF40A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866B93B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9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E07D4E4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中文报告工作站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39B43DE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6套</w:t>
                  </w:r>
                </w:p>
              </w:tc>
            </w:tr>
            <w:tr w14:paraId="27ACDAF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412CE51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9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E3DCFEC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显微扫描仪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7F8969C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1</w:t>
                  </w: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</w:rPr>
                    <w:t>台</w:t>
                  </w:r>
                </w:p>
              </w:tc>
            </w:tr>
            <w:tr w14:paraId="06EE6B6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4B5F0A1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10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3B4DF11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干式荧光免疫分析仪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76C5E1C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1</w:t>
                  </w: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</w:rPr>
                    <w:t>台</w:t>
                  </w:r>
                </w:p>
              </w:tc>
            </w:tr>
            <w:tr w14:paraId="36D7FF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C2B2BCA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eastAsia" w:ascii="Arial" w:hAnsi="Arial" w:eastAsia="宋体" w:cs="Arial"/>
                      <w:kern w:val="2"/>
                      <w:sz w:val="22"/>
                      <w:szCs w:val="22"/>
                      <w:highlight w:val="none"/>
                      <w:lang w:val="en-US" w:eastAsia="zh-CN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  <w:highlight w:val="none"/>
                    </w:rPr>
                    <w:t>1</w:t>
                  </w: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highlight w:val="none"/>
                      <w:lang w:val="en-US" w:eastAsia="zh-CN"/>
                    </w:rPr>
                    <w:t>1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C894226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ascii="Arial" w:hAnsi="Arial"/>
                      <w:kern w:val="2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hint="eastAsia" w:ascii="Arial" w:hAnsi="Arial"/>
                      <w:kern w:val="2"/>
                      <w:sz w:val="22"/>
                      <w:szCs w:val="22"/>
                      <w:highlight w:val="none"/>
                    </w:rPr>
                    <w:t>微生物鉴定药敏分析系统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D8CFEAD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highlight w:val="none"/>
                      <w:lang w:val="en-US" w:eastAsia="zh-CN"/>
                    </w:rPr>
                    <w:t>1</w:t>
                  </w: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  <w:highlight w:val="none"/>
                    </w:rPr>
                    <w:t>台</w:t>
                  </w:r>
                </w:p>
              </w:tc>
            </w:tr>
            <w:tr w14:paraId="6EE874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FCC2486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eastAsia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1</w:t>
                  </w: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2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3DE279C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ascii="Arial" w:hAnsi="Arial" w:eastAsia="宋体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/>
                      <w:kern w:val="2"/>
                      <w:sz w:val="22"/>
                      <w:szCs w:val="22"/>
                      <w:lang w:val="en-US" w:eastAsia="zh-CN"/>
                    </w:rPr>
                    <w:t>自动加样仪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F43143F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1</w:t>
                  </w: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</w:rPr>
                    <w:t>台</w:t>
                  </w:r>
                </w:p>
              </w:tc>
            </w:tr>
            <w:tr w14:paraId="62223F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0196009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eastAsia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1</w:t>
                  </w: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3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7C4D1DA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default" w:ascii="Arial" w:hAnsi="Arial" w:eastAsia="宋体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/>
                      <w:kern w:val="2"/>
                      <w:sz w:val="22"/>
                      <w:szCs w:val="22"/>
                      <w:lang w:val="en-US" w:eastAsia="zh-CN"/>
                    </w:rPr>
                    <w:t>细菌浊度仪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392EFED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kern w:val="2"/>
                      <w:sz w:val="22"/>
                      <w:szCs w:val="22"/>
                    </w:rPr>
                    <w:t>1</w:t>
                  </w:r>
                  <w:r>
                    <w:rPr>
                      <w:rFonts w:hint="eastAsia" w:ascii="Arial" w:hAnsi="Arial" w:cs="Arial"/>
                      <w:kern w:val="2"/>
                      <w:sz w:val="22"/>
                      <w:szCs w:val="22"/>
                    </w:rPr>
                    <w:t>台</w:t>
                  </w:r>
                </w:p>
              </w:tc>
            </w:tr>
            <w:tr w14:paraId="2B237B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3" w:hRule="atLeast"/>
              </w:trPr>
              <w:tc>
                <w:tcPr>
                  <w:tcW w:w="1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85B0678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14</w:t>
                  </w:r>
                </w:p>
              </w:tc>
              <w:tc>
                <w:tcPr>
                  <w:tcW w:w="429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43912DD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rPr>
                      <w:rFonts w:hint="eastAsia" w:eastAsia="宋体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/>
                      <w:kern w:val="2"/>
                      <w:sz w:val="22"/>
                      <w:szCs w:val="22"/>
                      <w:lang w:val="en-US" w:eastAsia="zh-CN"/>
                    </w:rPr>
                    <w:t>平板微型条码打印机</w:t>
                  </w:r>
                </w:p>
              </w:tc>
              <w:tc>
                <w:tcPr>
                  <w:tcW w:w="145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0C373DD4">
                  <w:pPr>
                    <w:pStyle w:val="34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napToGrid/>
                    <w:spacing w:line="264" w:lineRule="auto"/>
                    <w:ind w:right="90"/>
                    <w:jc w:val="center"/>
                    <w:rPr>
                      <w:rFonts w:hint="default" w:ascii="Arial" w:hAnsi="Arial" w:eastAsia="宋体" w:cs="Arial"/>
                      <w:kern w:val="2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eastAsia="宋体" w:cs="Arial"/>
                      <w:kern w:val="2"/>
                      <w:sz w:val="22"/>
                      <w:szCs w:val="22"/>
                      <w:lang w:val="en-US" w:eastAsia="zh-CN"/>
                    </w:rPr>
                    <w:t>6台</w:t>
                  </w:r>
                </w:p>
              </w:tc>
            </w:tr>
          </w:tbl>
          <w:p w14:paraId="3E77A3A2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ind w:firstLine="0"/>
              <w:jc w:val="left"/>
              <w:rPr>
                <w:rFonts w:hint="default" w:ascii="Arial" w:hAnsi="Arial" w:eastAsia="宋体" w:cs="Arial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24" w:type="dxa"/>
            <w:vAlign w:val="center"/>
          </w:tcPr>
          <w:p w14:paraId="1984D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cs="Arial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46" w:type="dxa"/>
            <w:vAlign w:val="center"/>
          </w:tcPr>
          <w:p w14:paraId="66EB7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64" w:lineRule="auto"/>
              <w:jc w:val="center"/>
              <w:rPr>
                <w:rFonts w:hint="default" w:ascii="Arial" w:hAnsi="Arial" w:cs="Arial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color w:val="auto"/>
                <w:kern w:val="0"/>
                <w:szCs w:val="21"/>
                <w:highlight w:val="none"/>
                <w:lang w:val="en-US" w:eastAsia="zh-CN"/>
              </w:rPr>
              <w:t>套</w:t>
            </w:r>
          </w:p>
        </w:tc>
      </w:tr>
      <w:bookmarkEnd w:id="0"/>
    </w:tbl>
    <w:p w14:paraId="08389A9B">
      <w:pPr>
        <w:rPr>
          <w:rFonts w:hint="default" w:ascii="Arial" w:hAnsi="Arial" w:eastAsia="宋体" w:cs="Arial"/>
          <w:sz w:val="28"/>
          <w:szCs w:val="28"/>
          <w:highlight w:val="none"/>
        </w:rPr>
      </w:pPr>
    </w:p>
    <w:p w14:paraId="79B0C5BD">
      <w:pPr>
        <w:ind w:firstLine="240" w:firstLineChars="100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备注：以上▲参数为实质性参数</w:t>
      </w:r>
    </w:p>
    <w:p w14:paraId="2EF15B52">
      <w:pP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 w14:paraId="7077669D">
      <w:pP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 w14:paraId="4D6B26B9">
      <w:pP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商务要求</w:t>
      </w:r>
    </w:p>
    <w:p w14:paraId="42DCBF2B">
      <w:pPr>
        <w:widowControl/>
        <w:spacing w:line="360" w:lineRule="auto"/>
        <w:ind w:firstLine="501" w:firstLineChars="209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本项目为交钥匙项目，合同总价包括全部产品价格【含免费与本院相关信息系统（PACS、HIS、LIS等）对接费用，及设备软件调试、升级、改造、运维、计量检测等费用】、无缝结合、备品备件、专用工具、包装、运输、装卸、保险、税金、货到位以及原有旧设备的拆除、安装、安装所需辅材、医院装修未尽事项、调试、检验、售后服务、培训、保修等，直至验收合格交付及质保期间所发生的所有费用。</w:t>
      </w:r>
    </w:p>
    <w:p w14:paraId="3D073A86">
      <w:pPr>
        <w:widowControl/>
        <w:spacing w:line="360" w:lineRule="auto"/>
        <w:ind w:firstLine="264" w:firstLineChars="11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1、按国家有关产品三包规定执行“三包”，质保期：整机质保期不少于五年，质保期内故障时间顺延质保期。</w:t>
      </w:r>
    </w:p>
    <w:p w14:paraId="6A3E6BCC">
      <w:pPr>
        <w:widowControl/>
        <w:spacing w:line="360" w:lineRule="auto"/>
        <w:ind w:firstLine="264" w:firstLineChars="11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2、在使用过程中若产品发生质量问题或故障，在接到采购人通知后1个小时内响应，8小时内到达故障现场处理，一般故障处理时限不超过24小时修复，同时必须提供同档次的备用机给采购人使用。 </w:t>
      </w:r>
    </w:p>
    <w:p w14:paraId="589EF4E2">
      <w:pPr>
        <w:widowControl/>
        <w:spacing w:line="360" w:lineRule="auto"/>
        <w:ind w:firstLine="264" w:firstLineChars="11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3、定期免费上门维护检查设备运行情况，每年至少2次。</w:t>
      </w:r>
    </w:p>
    <w:p w14:paraId="3B6BB700">
      <w:pPr>
        <w:widowControl/>
        <w:spacing w:line="360" w:lineRule="auto"/>
        <w:ind w:firstLine="264" w:firstLineChars="11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、需提供不少于8小时的系统化操作培训，可根据临床科室实际情况分次完成但总时长不得低于8小时，培训内容应包括设备及配套器械的基本原理、安装与拆卸流程、操作规范、日常维护保养、常见故障识别及应急处理等。</w:t>
      </w:r>
    </w:p>
    <w:p w14:paraId="2D31F8FE">
      <w:pPr>
        <w:widowControl/>
        <w:spacing w:line="360" w:lineRule="auto"/>
        <w:ind w:firstLine="23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 </w:t>
      </w:r>
    </w:p>
    <w:p w14:paraId="58483AA3">
      <w:pPr>
        <w:jc w:val="both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</w:p>
    <w:p w14:paraId="60AE64B7">
      <w:pP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付款方式</w:t>
      </w:r>
    </w:p>
    <w:p w14:paraId="786A0123">
      <w:pPr>
        <w:widowControl/>
        <w:spacing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（1）预付款：签订本合同且中标人开具正规合法发票，采购人在收到正规合法发票后10个工作日内，向中标人支付合同总金额的30%作为预付款。</w:t>
      </w:r>
    </w:p>
    <w:p w14:paraId="2504EE9A">
      <w:pPr>
        <w:widowControl/>
        <w:spacing w:line="360" w:lineRule="auto"/>
        <w:ind w:firstLine="23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（2）验收款：设备验收合格后，中标人开具合同最终总金额的正规合法发票后22个工作日内，采购人向中标人指定账户支付70%合同总金额（付至合同总金额的100%）。</w:t>
      </w:r>
    </w:p>
    <w:p w14:paraId="72610F15">
      <w:pPr>
        <w:widowControl/>
        <w:spacing w:line="360" w:lineRule="auto"/>
        <w:ind w:firstLine="23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（3）项目使用财政资金支付时，以财政实际拨付该项目资金时间为付款时间，中标人确认同意采购人不承担财政拨付延迟的相关责任。</w:t>
      </w:r>
    </w:p>
    <w:p w14:paraId="6FC2212F">
      <w:pPr>
        <w:widowControl/>
        <w:spacing w:line="360" w:lineRule="auto"/>
        <w:ind w:firstLine="23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（4）上述每笔款项支付前，中标人须按采购人财务支付规定提前向采购人开具正规合法发票。</w:t>
      </w:r>
    </w:p>
    <w:p w14:paraId="57DAB37D">
      <w:pPr>
        <w:widowControl/>
        <w:spacing w:line="360" w:lineRule="auto"/>
        <w:ind w:firstLine="23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（6）本合同执行中相关的一切税费均由中标人负担。</w:t>
      </w:r>
    </w:p>
    <w:p w14:paraId="2869280C">
      <w:pPr>
        <w:widowControl/>
        <w:spacing w:line="360" w:lineRule="auto"/>
        <w:ind w:firstLine="23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（7）资金支付方式：银行转账。</w:t>
      </w:r>
    </w:p>
    <w:p w14:paraId="2E26714B">
      <w:pPr>
        <w:rPr>
          <w:rFonts w:hint="default" w:ascii="Arial" w:hAnsi="Arial" w:eastAsia="宋体" w:cs="Arial"/>
          <w:sz w:val="28"/>
          <w:szCs w:val="28"/>
          <w:highlight w:val="none"/>
        </w:rPr>
      </w:pPr>
    </w:p>
    <w:sectPr>
      <w:headerReference r:id="rId4" w:type="first"/>
      <w:headerReference r:id="rId3" w:type="default"/>
      <w:footerReference r:id="rId5" w:type="default"/>
      <w:pgSz w:w="11906" w:h="16838"/>
      <w:pgMar w:top="720" w:right="720" w:bottom="720" w:left="7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type="linesAndChars" w:linePitch="33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D0BF6">
    <w:pPr>
      <w:tabs>
        <w:tab w:val="center" w:pos="4153"/>
        <w:tab w:val="right" w:pos="8306"/>
      </w:tabs>
      <w:ind w:firstLine="360"/>
      <w:jc w:val="center"/>
      <w:rPr>
        <w:rFonts w:hAnsi="宋体"/>
        <w:sz w:val="20"/>
      </w:rPr>
    </w:pPr>
    <w:r>
      <w:rPr>
        <w:rFonts w:hAnsi="宋体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355600" cy="164465"/>
              <wp:effectExtent l="0" t="0" r="0" b="0"/>
              <wp:wrapNone/>
              <wp:docPr id="6" name="矩形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560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B93A1C">
                          <w:pPr>
                            <w:tabs>
                              <w:tab w:val="center" w:pos="4153"/>
                              <w:tab w:val="right" w:pos="8306"/>
                            </w:tabs>
                            <w:ind w:firstLine="360"/>
                            <w:jc w:val="center"/>
                            <w:rPr>
                              <w:rFonts w:hAnsi="宋体"/>
                              <w:sz w:val="20"/>
                            </w:rPr>
                          </w:pPr>
                          <w:r>
                            <w:rPr>
                              <w:rFonts w:hAnsi="宋体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hAnsi="宋体"/>
                              <w:sz w:val="20"/>
                            </w:rPr>
                            <w:instrText xml:space="preserve">PAGE</w:instrText>
                          </w:r>
                          <w:r>
                            <w:rPr>
                              <w:rFonts w:hAnsi="宋体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hAnsi="宋体"/>
                              <w:sz w:val="20"/>
                            </w:rPr>
                            <w:t>37</w:t>
                          </w:r>
                          <w:r>
                            <w:rPr>
                              <w:rFonts w:hAnsi="宋体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2.95pt;width:28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Ivm1EzRAAAAAwEAAA8AAAAAAAAAAQAgAAAAIgAAAGRycy9kb3ducmV2LnhtbFBL&#10;AQIUABQAAAAIAIdO4kDNYkzbxAEAAIoDAAAOAAAAAAAAAAEAIAAAACA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B93A1C">
                    <w:pPr>
                      <w:tabs>
                        <w:tab w:val="center" w:pos="4153"/>
                        <w:tab w:val="right" w:pos="8306"/>
                      </w:tabs>
                      <w:ind w:firstLine="360"/>
                      <w:jc w:val="center"/>
                      <w:rPr>
                        <w:rFonts w:hAnsi="宋体"/>
                        <w:sz w:val="20"/>
                      </w:rPr>
                    </w:pPr>
                    <w:r>
                      <w:rPr>
                        <w:rFonts w:hAnsi="宋体"/>
                        <w:sz w:val="20"/>
                      </w:rPr>
                      <w:fldChar w:fldCharType="begin"/>
                    </w:r>
                    <w:r>
                      <w:rPr>
                        <w:rFonts w:hAnsi="宋体"/>
                        <w:sz w:val="20"/>
                      </w:rPr>
                      <w:instrText xml:space="preserve">PAGE</w:instrText>
                    </w:r>
                    <w:r>
                      <w:rPr>
                        <w:rFonts w:hAnsi="宋体"/>
                        <w:sz w:val="20"/>
                      </w:rPr>
                      <w:fldChar w:fldCharType="separate"/>
                    </w:r>
                    <w:r>
                      <w:rPr>
                        <w:rFonts w:hAnsi="宋体"/>
                        <w:sz w:val="20"/>
                      </w:rPr>
                      <w:t>37</w:t>
                    </w:r>
                    <w:r>
                      <w:rPr>
                        <w:rFonts w:hAnsi="宋体"/>
                        <w:sz w:val="2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E9C18">
    <w:pPr>
      <w:tabs>
        <w:tab w:val="center" w:pos="4153"/>
        <w:tab w:val="right" w:pos="8306"/>
      </w:tabs>
      <w:ind w:firstLine="360"/>
      <w:jc w:val="left"/>
      <w:rPr>
        <w:rFonts w:hAnsi="宋体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231F9">
    <w:pPr>
      <w:tabs>
        <w:tab w:val="center" w:pos="4153"/>
        <w:tab w:val="right" w:pos="8306"/>
      </w:tabs>
      <w:rPr>
        <w:rFonts w:hAnsi="宋体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iOWM2MzNlZjk4NTNhNjlmZThmZjcxNGE1Y2Q0ZmIifQ=="/>
  </w:docVars>
  <w:rsids>
    <w:rsidRoot w:val="001A74E0"/>
    <w:rsid w:val="00012BB0"/>
    <w:rsid w:val="00020329"/>
    <w:rsid w:val="000218F1"/>
    <w:rsid w:val="000238C9"/>
    <w:rsid w:val="000333C3"/>
    <w:rsid w:val="00033AA7"/>
    <w:rsid w:val="00043CBE"/>
    <w:rsid w:val="00054ADF"/>
    <w:rsid w:val="00061705"/>
    <w:rsid w:val="00063BBF"/>
    <w:rsid w:val="00064315"/>
    <w:rsid w:val="0006438B"/>
    <w:rsid w:val="00066F28"/>
    <w:rsid w:val="0007196C"/>
    <w:rsid w:val="000727B0"/>
    <w:rsid w:val="000770C3"/>
    <w:rsid w:val="00077DC0"/>
    <w:rsid w:val="000950E2"/>
    <w:rsid w:val="00096561"/>
    <w:rsid w:val="00096AAA"/>
    <w:rsid w:val="000A7FDA"/>
    <w:rsid w:val="000B39BF"/>
    <w:rsid w:val="000B71B0"/>
    <w:rsid w:val="000D4062"/>
    <w:rsid w:val="000D61C8"/>
    <w:rsid w:val="000E5932"/>
    <w:rsid w:val="000F59D5"/>
    <w:rsid w:val="00104D17"/>
    <w:rsid w:val="00107AA1"/>
    <w:rsid w:val="00110C68"/>
    <w:rsid w:val="00112F3E"/>
    <w:rsid w:val="00113C42"/>
    <w:rsid w:val="0012270A"/>
    <w:rsid w:val="00123F1F"/>
    <w:rsid w:val="00134B09"/>
    <w:rsid w:val="00140ABB"/>
    <w:rsid w:val="00140CA1"/>
    <w:rsid w:val="00142CFA"/>
    <w:rsid w:val="00144666"/>
    <w:rsid w:val="00147913"/>
    <w:rsid w:val="0015032C"/>
    <w:rsid w:val="00153D6A"/>
    <w:rsid w:val="0016024E"/>
    <w:rsid w:val="00165F4A"/>
    <w:rsid w:val="001660B4"/>
    <w:rsid w:val="00173579"/>
    <w:rsid w:val="00175425"/>
    <w:rsid w:val="00180B2F"/>
    <w:rsid w:val="001A287E"/>
    <w:rsid w:val="001A41A2"/>
    <w:rsid w:val="001A748D"/>
    <w:rsid w:val="001A74E0"/>
    <w:rsid w:val="001B0559"/>
    <w:rsid w:val="001B069F"/>
    <w:rsid w:val="001B1F31"/>
    <w:rsid w:val="001C3C1C"/>
    <w:rsid w:val="001D4F0B"/>
    <w:rsid w:val="001D54B1"/>
    <w:rsid w:val="001D7C37"/>
    <w:rsid w:val="001E0BE4"/>
    <w:rsid w:val="001E11B0"/>
    <w:rsid w:val="001E1C40"/>
    <w:rsid w:val="001E55CE"/>
    <w:rsid w:val="001F7B70"/>
    <w:rsid w:val="00200382"/>
    <w:rsid w:val="00201537"/>
    <w:rsid w:val="00206641"/>
    <w:rsid w:val="0021210B"/>
    <w:rsid w:val="00223594"/>
    <w:rsid w:val="00224577"/>
    <w:rsid w:val="00257A61"/>
    <w:rsid w:val="002633FE"/>
    <w:rsid w:val="002673D4"/>
    <w:rsid w:val="00270931"/>
    <w:rsid w:val="00271D0C"/>
    <w:rsid w:val="00276208"/>
    <w:rsid w:val="00276D1E"/>
    <w:rsid w:val="00281016"/>
    <w:rsid w:val="002811D2"/>
    <w:rsid w:val="002816AF"/>
    <w:rsid w:val="00287D59"/>
    <w:rsid w:val="00291C96"/>
    <w:rsid w:val="00295F89"/>
    <w:rsid w:val="0029783B"/>
    <w:rsid w:val="002C75B7"/>
    <w:rsid w:val="002D28B5"/>
    <w:rsid w:val="002F46C7"/>
    <w:rsid w:val="002F762A"/>
    <w:rsid w:val="00307F60"/>
    <w:rsid w:val="00307FD0"/>
    <w:rsid w:val="00341E5D"/>
    <w:rsid w:val="0034563E"/>
    <w:rsid w:val="00364924"/>
    <w:rsid w:val="003651D0"/>
    <w:rsid w:val="00370D36"/>
    <w:rsid w:val="00371BAF"/>
    <w:rsid w:val="00382E4E"/>
    <w:rsid w:val="0038375C"/>
    <w:rsid w:val="0038375D"/>
    <w:rsid w:val="00385610"/>
    <w:rsid w:val="00385914"/>
    <w:rsid w:val="00386E23"/>
    <w:rsid w:val="00387A8E"/>
    <w:rsid w:val="00391BEA"/>
    <w:rsid w:val="003940FC"/>
    <w:rsid w:val="00396EF1"/>
    <w:rsid w:val="003A2A77"/>
    <w:rsid w:val="003A2B0F"/>
    <w:rsid w:val="003B39F7"/>
    <w:rsid w:val="003B625B"/>
    <w:rsid w:val="003D30FB"/>
    <w:rsid w:val="003F3D57"/>
    <w:rsid w:val="00401594"/>
    <w:rsid w:val="00413F67"/>
    <w:rsid w:val="00413F8C"/>
    <w:rsid w:val="004147BA"/>
    <w:rsid w:val="00425B8C"/>
    <w:rsid w:val="00432582"/>
    <w:rsid w:val="00433A58"/>
    <w:rsid w:val="00435DAD"/>
    <w:rsid w:val="004401D2"/>
    <w:rsid w:val="00444423"/>
    <w:rsid w:val="00444B99"/>
    <w:rsid w:val="004473AF"/>
    <w:rsid w:val="004500F6"/>
    <w:rsid w:val="004607F4"/>
    <w:rsid w:val="004722AE"/>
    <w:rsid w:val="00487648"/>
    <w:rsid w:val="00493252"/>
    <w:rsid w:val="00495C39"/>
    <w:rsid w:val="00497072"/>
    <w:rsid w:val="004A0499"/>
    <w:rsid w:val="004A7C83"/>
    <w:rsid w:val="004B2133"/>
    <w:rsid w:val="004B373C"/>
    <w:rsid w:val="004B7668"/>
    <w:rsid w:val="004C007D"/>
    <w:rsid w:val="004C4727"/>
    <w:rsid w:val="004C7F6C"/>
    <w:rsid w:val="004D5645"/>
    <w:rsid w:val="004F20EE"/>
    <w:rsid w:val="00503AE0"/>
    <w:rsid w:val="005104A6"/>
    <w:rsid w:val="005154EC"/>
    <w:rsid w:val="00534386"/>
    <w:rsid w:val="0054719D"/>
    <w:rsid w:val="00552AC4"/>
    <w:rsid w:val="005751CA"/>
    <w:rsid w:val="00576FA1"/>
    <w:rsid w:val="005779BA"/>
    <w:rsid w:val="00585234"/>
    <w:rsid w:val="00585577"/>
    <w:rsid w:val="0059088D"/>
    <w:rsid w:val="005A67BD"/>
    <w:rsid w:val="005B0A8B"/>
    <w:rsid w:val="005B121C"/>
    <w:rsid w:val="005B1E9A"/>
    <w:rsid w:val="005B27A7"/>
    <w:rsid w:val="005B4D07"/>
    <w:rsid w:val="005C02CC"/>
    <w:rsid w:val="005C1D9A"/>
    <w:rsid w:val="005C5829"/>
    <w:rsid w:val="005D2843"/>
    <w:rsid w:val="005D72D9"/>
    <w:rsid w:val="005E2B42"/>
    <w:rsid w:val="005E7D89"/>
    <w:rsid w:val="00600BD8"/>
    <w:rsid w:val="00600F1E"/>
    <w:rsid w:val="0060175F"/>
    <w:rsid w:val="00604112"/>
    <w:rsid w:val="006101B8"/>
    <w:rsid w:val="00613814"/>
    <w:rsid w:val="0061744A"/>
    <w:rsid w:val="00617938"/>
    <w:rsid w:val="00620517"/>
    <w:rsid w:val="0063391B"/>
    <w:rsid w:val="00634B13"/>
    <w:rsid w:val="00637BC2"/>
    <w:rsid w:val="00640749"/>
    <w:rsid w:val="0064219F"/>
    <w:rsid w:val="00650BC4"/>
    <w:rsid w:val="00655524"/>
    <w:rsid w:val="0067683A"/>
    <w:rsid w:val="00682370"/>
    <w:rsid w:val="0068406E"/>
    <w:rsid w:val="006852DC"/>
    <w:rsid w:val="006969CF"/>
    <w:rsid w:val="006B6044"/>
    <w:rsid w:val="006B7B33"/>
    <w:rsid w:val="006C1D86"/>
    <w:rsid w:val="006D48E6"/>
    <w:rsid w:val="006E0AB4"/>
    <w:rsid w:val="006E5C1E"/>
    <w:rsid w:val="006E7E8B"/>
    <w:rsid w:val="006F5B7B"/>
    <w:rsid w:val="00703785"/>
    <w:rsid w:val="007050AE"/>
    <w:rsid w:val="00713F03"/>
    <w:rsid w:val="00721427"/>
    <w:rsid w:val="00726D1D"/>
    <w:rsid w:val="0073256C"/>
    <w:rsid w:val="00745750"/>
    <w:rsid w:val="00746CA8"/>
    <w:rsid w:val="007661A0"/>
    <w:rsid w:val="00767839"/>
    <w:rsid w:val="0077156C"/>
    <w:rsid w:val="00782A0A"/>
    <w:rsid w:val="0078377F"/>
    <w:rsid w:val="00786C46"/>
    <w:rsid w:val="0079401E"/>
    <w:rsid w:val="00794E0B"/>
    <w:rsid w:val="0079548D"/>
    <w:rsid w:val="00795BFC"/>
    <w:rsid w:val="007C2873"/>
    <w:rsid w:val="007C4AEE"/>
    <w:rsid w:val="007F600A"/>
    <w:rsid w:val="00804C44"/>
    <w:rsid w:val="00806FAB"/>
    <w:rsid w:val="00812F6F"/>
    <w:rsid w:val="00820E9E"/>
    <w:rsid w:val="0082206A"/>
    <w:rsid w:val="008241A1"/>
    <w:rsid w:val="00826EA8"/>
    <w:rsid w:val="00834684"/>
    <w:rsid w:val="00836488"/>
    <w:rsid w:val="0084086D"/>
    <w:rsid w:val="0084505F"/>
    <w:rsid w:val="00847C2F"/>
    <w:rsid w:val="00853918"/>
    <w:rsid w:val="00856C42"/>
    <w:rsid w:val="00864338"/>
    <w:rsid w:val="00865F34"/>
    <w:rsid w:val="00870A25"/>
    <w:rsid w:val="00877082"/>
    <w:rsid w:val="008838FF"/>
    <w:rsid w:val="00890851"/>
    <w:rsid w:val="00890C43"/>
    <w:rsid w:val="0089688C"/>
    <w:rsid w:val="00896C63"/>
    <w:rsid w:val="008B1991"/>
    <w:rsid w:val="008B259E"/>
    <w:rsid w:val="008B5A0E"/>
    <w:rsid w:val="008B626A"/>
    <w:rsid w:val="008C100D"/>
    <w:rsid w:val="008C337F"/>
    <w:rsid w:val="008D769B"/>
    <w:rsid w:val="008E21D0"/>
    <w:rsid w:val="008E2455"/>
    <w:rsid w:val="008E5E1B"/>
    <w:rsid w:val="008F3A23"/>
    <w:rsid w:val="008F4C0D"/>
    <w:rsid w:val="00913CA1"/>
    <w:rsid w:val="0091488D"/>
    <w:rsid w:val="0091517A"/>
    <w:rsid w:val="00915CAF"/>
    <w:rsid w:val="00924984"/>
    <w:rsid w:val="0094322C"/>
    <w:rsid w:val="00943606"/>
    <w:rsid w:val="009529F0"/>
    <w:rsid w:val="00960529"/>
    <w:rsid w:val="00961402"/>
    <w:rsid w:val="009647DB"/>
    <w:rsid w:val="00970D00"/>
    <w:rsid w:val="00977C44"/>
    <w:rsid w:val="00986207"/>
    <w:rsid w:val="00986DE7"/>
    <w:rsid w:val="00987C65"/>
    <w:rsid w:val="00992BF8"/>
    <w:rsid w:val="009946D9"/>
    <w:rsid w:val="009A75FB"/>
    <w:rsid w:val="009B14F5"/>
    <w:rsid w:val="009B1A34"/>
    <w:rsid w:val="009C4794"/>
    <w:rsid w:val="009D7E2C"/>
    <w:rsid w:val="009E1988"/>
    <w:rsid w:val="009E2342"/>
    <w:rsid w:val="009E2B6D"/>
    <w:rsid w:val="009E5521"/>
    <w:rsid w:val="009E63E1"/>
    <w:rsid w:val="009E7DB0"/>
    <w:rsid w:val="009F31A8"/>
    <w:rsid w:val="009F509A"/>
    <w:rsid w:val="00A06A59"/>
    <w:rsid w:val="00A06C51"/>
    <w:rsid w:val="00A11F19"/>
    <w:rsid w:val="00A2142F"/>
    <w:rsid w:val="00A23C4A"/>
    <w:rsid w:val="00A2581F"/>
    <w:rsid w:val="00A32008"/>
    <w:rsid w:val="00A33F2C"/>
    <w:rsid w:val="00A340FC"/>
    <w:rsid w:val="00A46994"/>
    <w:rsid w:val="00A51437"/>
    <w:rsid w:val="00A54E6E"/>
    <w:rsid w:val="00A56D9C"/>
    <w:rsid w:val="00A61947"/>
    <w:rsid w:val="00A64F87"/>
    <w:rsid w:val="00A77561"/>
    <w:rsid w:val="00A91D87"/>
    <w:rsid w:val="00A9653A"/>
    <w:rsid w:val="00AA260F"/>
    <w:rsid w:val="00AA2E22"/>
    <w:rsid w:val="00AA59A0"/>
    <w:rsid w:val="00AA7161"/>
    <w:rsid w:val="00AB3EE2"/>
    <w:rsid w:val="00AB6DED"/>
    <w:rsid w:val="00AC193D"/>
    <w:rsid w:val="00AC5C9B"/>
    <w:rsid w:val="00AC7787"/>
    <w:rsid w:val="00AD475F"/>
    <w:rsid w:val="00AD5076"/>
    <w:rsid w:val="00AE0113"/>
    <w:rsid w:val="00AF2B6A"/>
    <w:rsid w:val="00B06F64"/>
    <w:rsid w:val="00B131E0"/>
    <w:rsid w:val="00B161C7"/>
    <w:rsid w:val="00B208B2"/>
    <w:rsid w:val="00B24B20"/>
    <w:rsid w:val="00B250AE"/>
    <w:rsid w:val="00B302A7"/>
    <w:rsid w:val="00B3389F"/>
    <w:rsid w:val="00B45A24"/>
    <w:rsid w:val="00B557AD"/>
    <w:rsid w:val="00B571FB"/>
    <w:rsid w:val="00B8145B"/>
    <w:rsid w:val="00B81521"/>
    <w:rsid w:val="00B82C2D"/>
    <w:rsid w:val="00B8364B"/>
    <w:rsid w:val="00B8393E"/>
    <w:rsid w:val="00B8518F"/>
    <w:rsid w:val="00B87529"/>
    <w:rsid w:val="00B92749"/>
    <w:rsid w:val="00B970A0"/>
    <w:rsid w:val="00BA3966"/>
    <w:rsid w:val="00BC01F7"/>
    <w:rsid w:val="00BC53FC"/>
    <w:rsid w:val="00BC780E"/>
    <w:rsid w:val="00BD02CC"/>
    <w:rsid w:val="00BD0995"/>
    <w:rsid w:val="00BD76E8"/>
    <w:rsid w:val="00BE060D"/>
    <w:rsid w:val="00BE65E7"/>
    <w:rsid w:val="00C062A4"/>
    <w:rsid w:val="00C07B40"/>
    <w:rsid w:val="00C16E37"/>
    <w:rsid w:val="00C2040A"/>
    <w:rsid w:val="00C23D8B"/>
    <w:rsid w:val="00C270EE"/>
    <w:rsid w:val="00C300BB"/>
    <w:rsid w:val="00C30ACC"/>
    <w:rsid w:val="00C30FFB"/>
    <w:rsid w:val="00C34BAB"/>
    <w:rsid w:val="00C4461F"/>
    <w:rsid w:val="00C50219"/>
    <w:rsid w:val="00C56FA1"/>
    <w:rsid w:val="00C60CB8"/>
    <w:rsid w:val="00C61B39"/>
    <w:rsid w:val="00C62978"/>
    <w:rsid w:val="00C640D4"/>
    <w:rsid w:val="00C65B32"/>
    <w:rsid w:val="00C70657"/>
    <w:rsid w:val="00C73B19"/>
    <w:rsid w:val="00C7605D"/>
    <w:rsid w:val="00C77C1D"/>
    <w:rsid w:val="00C85CE5"/>
    <w:rsid w:val="00C87E72"/>
    <w:rsid w:val="00C934AC"/>
    <w:rsid w:val="00C95B90"/>
    <w:rsid w:val="00C96BA0"/>
    <w:rsid w:val="00CB1606"/>
    <w:rsid w:val="00CB4539"/>
    <w:rsid w:val="00CB6A16"/>
    <w:rsid w:val="00CC4AE5"/>
    <w:rsid w:val="00CC55E0"/>
    <w:rsid w:val="00CC648B"/>
    <w:rsid w:val="00CC68C8"/>
    <w:rsid w:val="00CD279D"/>
    <w:rsid w:val="00CD4E42"/>
    <w:rsid w:val="00CD6601"/>
    <w:rsid w:val="00CE2421"/>
    <w:rsid w:val="00CE2C0B"/>
    <w:rsid w:val="00CE37A8"/>
    <w:rsid w:val="00CF0031"/>
    <w:rsid w:val="00CF2221"/>
    <w:rsid w:val="00CF3009"/>
    <w:rsid w:val="00CF32F1"/>
    <w:rsid w:val="00CF3FD9"/>
    <w:rsid w:val="00CF7B95"/>
    <w:rsid w:val="00D00E80"/>
    <w:rsid w:val="00D02311"/>
    <w:rsid w:val="00D0256D"/>
    <w:rsid w:val="00D04058"/>
    <w:rsid w:val="00D06D1B"/>
    <w:rsid w:val="00D101B6"/>
    <w:rsid w:val="00D103A7"/>
    <w:rsid w:val="00D15559"/>
    <w:rsid w:val="00D20BC3"/>
    <w:rsid w:val="00D273F0"/>
    <w:rsid w:val="00D306D2"/>
    <w:rsid w:val="00D33E8B"/>
    <w:rsid w:val="00D37C19"/>
    <w:rsid w:val="00D41734"/>
    <w:rsid w:val="00D44DD4"/>
    <w:rsid w:val="00D5091A"/>
    <w:rsid w:val="00D545A0"/>
    <w:rsid w:val="00D600B8"/>
    <w:rsid w:val="00D6553D"/>
    <w:rsid w:val="00D72733"/>
    <w:rsid w:val="00D80ADA"/>
    <w:rsid w:val="00D82774"/>
    <w:rsid w:val="00D82E9D"/>
    <w:rsid w:val="00D839C4"/>
    <w:rsid w:val="00D97600"/>
    <w:rsid w:val="00DA2E72"/>
    <w:rsid w:val="00DA6997"/>
    <w:rsid w:val="00DB45EC"/>
    <w:rsid w:val="00DC4EAD"/>
    <w:rsid w:val="00DD1EEC"/>
    <w:rsid w:val="00DD785B"/>
    <w:rsid w:val="00DE1618"/>
    <w:rsid w:val="00DE262F"/>
    <w:rsid w:val="00DE42A0"/>
    <w:rsid w:val="00DE46CD"/>
    <w:rsid w:val="00DE54C9"/>
    <w:rsid w:val="00DF1BE8"/>
    <w:rsid w:val="00E06096"/>
    <w:rsid w:val="00E06B04"/>
    <w:rsid w:val="00E17FC8"/>
    <w:rsid w:val="00E20978"/>
    <w:rsid w:val="00E278C3"/>
    <w:rsid w:val="00E3212A"/>
    <w:rsid w:val="00E32B9F"/>
    <w:rsid w:val="00E34265"/>
    <w:rsid w:val="00E346A7"/>
    <w:rsid w:val="00E405AF"/>
    <w:rsid w:val="00E43E4F"/>
    <w:rsid w:val="00E547FB"/>
    <w:rsid w:val="00E56E8D"/>
    <w:rsid w:val="00E614B7"/>
    <w:rsid w:val="00E654DB"/>
    <w:rsid w:val="00E664D1"/>
    <w:rsid w:val="00E6789D"/>
    <w:rsid w:val="00E73475"/>
    <w:rsid w:val="00E811DC"/>
    <w:rsid w:val="00EA3641"/>
    <w:rsid w:val="00EC2659"/>
    <w:rsid w:val="00EC3028"/>
    <w:rsid w:val="00EC32BC"/>
    <w:rsid w:val="00ED14F0"/>
    <w:rsid w:val="00ED6630"/>
    <w:rsid w:val="00EE42DA"/>
    <w:rsid w:val="00EE4937"/>
    <w:rsid w:val="00EE5BDD"/>
    <w:rsid w:val="00EE603B"/>
    <w:rsid w:val="00EF1C3C"/>
    <w:rsid w:val="00EF39A3"/>
    <w:rsid w:val="00F02B1C"/>
    <w:rsid w:val="00F10766"/>
    <w:rsid w:val="00F3071B"/>
    <w:rsid w:val="00F30CE0"/>
    <w:rsid w:val="00F34E5C"/>
    <w:rsid w:val="00F41975"/>
    <w:rsid w:val="00F50214"/>
    <w:rsid w:val="00F652CC"/>
    <w:rsid w:val="00F66F68"/>
    <w:rsid w:val="00F679FD"/>
    <w:rsid w:val="00F7018A"/>
    <w:rsid w:val="00F703CD"/>
    <w:rsid w:val="00F70FD6"/>
    <w:rsid w:val="00F76738"/>
    <w:rsid w:val="00F77AB8"/>
    <w:rsid w:val="00F81E5D"/>
    <w:rsid w:val="00F861CC"/>
    <w:rsid w:val="00F93BCF"/>
    <w:rsid w:val="00F96FF9"/>
    <w:rsid w:val="00F97193"/>
    <w:rsid w:val="00FA2AB1"/>
    <w:rsid w:val="00FA5DDB"/>
    <w:rsid w:val="00FB255F"/>
    <w:rsid w:val="00FB37D8"/>
    <w:rsid w:val="00FC047E"/>
    <w:rsid w:val="00FC0A6B"/>
    <w:rsid w:val="00FC291C"/>
    <w:rsid w:val="00FD07C4"/>
    <w:rsid w:val="00FD1398"/>
    <w:rsid w:val="00FD20EB"/>
    <w:rsid w:val="00FD3436"/>
    <w:rsid w:val="00FD462E"/>
    <w:rsid w:val="00FE06C7"/>
    <w:rsid w:val="00FE28FE"/>
    <w:rsid w:val="00FE4A7C"/>
    <w:rsid w:val="00FE5DE6"/>
    <w:rsid w:val="00FE63FF"/>
    <w:rsid w:val="00FF0D78"/>
    <w:rsid w:val="00FF33F8"/>
    <w:rsid w:val="00FF3952"/>
    <w:rsid w:val="00FF54C5"/>
    <w:rsid w:val="00FF72DB"/>
    <w:rsid w:val="01076D28"/>
    <w:rsid w:val="01366C30"/>
    <w:rsid w:val="017067C7"/>
    <w:rsid w:val="01971FAC"/>
    <w:rsid w:val="019D115B"/>
    <w:rsid w:val="01D050EC"/>
    <w:rsid w:val="01FC478D"/>
    <w:rsid w:val="01FD5D4D"/>
    <w:rsid w:val="02470DE0"/>
    <w:rsid w:val="025B2DC4"/>
    <w:rsid w:val="025F0B06"/>
    <w:rsid w:val="0279385A"/>
    <w:rsid w:val="02825332"/>
    <w:rsid w:val="02A41E8C"/>
    <w:rsid w:val="03600692"/>
    <w:rsid w:val="03C54999"/>
    <w:rsid w:val="03E74352"/>
    <w:rsid w:val="042F0D96"/>
    <w:rsid w:val="043735AC"/>
    <w:rsid w:val="045F7C3B"/>
    <w:rsid w:val="0464321E"/>
    <w:rsid w:val="04673EED"/>
    <w:rsid w:val="04696F15"/>
    <w:rsid w:val="047A39D5"/>
    <w:rsid w:val="04DA26C6"/>
    <w:rsid w:val="054C36B4"/>
    <w:rsid w:val="05AD27CF"/>
    <w:rsid w:val="06171E91"/>
    <w:rsid w:val="06250F89"/>
    <w:rsid w:val="06A64F55"/>
    <w:rsid w:val="06CF1644"/>
    <w:rsid w:val="06DA075B"/>
    <w:rsid w:val="077C5D87"/>
    <w:rsid w:val="07961588"/>
    <w:rsid w:val="07A07BF6"/>
    <w:rsid w:val="07A967C3"/>
    <w:rsid w:val="07E40DF0"/>
    <w:rsid w:val="082779D0"/>
    <w:rsid w:val="0849753D"/>
    <w:rsid w:val="085A2E36"/>
    <w:rsid w:val="08962DA7"/>
    <w:rsid w:val="08CD30CF"/>
    <w:rsid w:val="08EA2F7F"/>
    <w:rsid w:val="0900439F"/>
    <w:rsid w:val="09067F2D"/>
    <w:rsid w:val="09120119"/>
    <w:rsid w:val="092E642F"/>
    <w:rsid w:val="097F35A8"/>
    <w:rsid w:val="0983157E"/>
    <w:rsid w:val="099F3A93"/>
    <w:rsid w:val="0A393FBA"/>
    <w:rsid w:val="0A61148B"/>
    <w:rsid w:val="0A653257"/>
    <w:rsid w:val="0AD21839"/>
    <w:rsid w:val="0AD56600"/>
    <w:rsid w:val="0B835865"/>
    <w:rsid w:val="0B8E7791"/>
    <w:rsid w:val="0BF0290C"/>
    <w:rsid w:val="0C09226B"/>
    <w:rsid w:val="0C343E62"/>
    <w:rsid w:val="0C5B52BE"/>
    <w:rsid w:val="0C767789"/>
    <w:rsid w:val="0C9A243A"/>
    <w:rsid w:val="0D042C96"/>
    <w:rsid w:val="0D22160F"/>
    <w:rsid w:val="0D570D57"/>
    <w:rsid w:val="0D6B0683"/>
    <w:rsid w:val="0DD423A8"/>
    <w:rsid w:val="0DE31C86"/>
    <w:rsid w:val="0DF06973"/>
    <w:rsid w:val="0DF333EC"/>
    <w:rsid w:val="0E5B43CB"/>
    <w:rsid w:val="0E6059EA"/>
    <w:rsid w:val="0EA30DF7"/>
    <w:rsid w:val="0EBD2E3C"/>
    <w:rsid w:val="0F024C31"/>
    <w:rsid w:val="0F204081"/>
    <w:rsid w:val="0F5A666C"/>
    <w:rsid w:val="0F84472A"/>
    <w:rsid w:val="0F912F7C"/>
    <w:rsid w:val="0FCE2A50"/>
    <w:rsid w:val="0FE443F8"/>
    <w:rsid w:val="10142392"/>
    <w:rsid w:val="10D25A77"/>
    <w:rsid w:val="110034B4"/>
    <w:rsid w:val="11393BD3"/>
    <w:rsid w:val="11521F29"/>
    <w:rsid w:val="118217FD"/>
    <w:rsid w:val="11840911"/>
    <w:rsid w:val="11B85B3D"/>
    <w:rsid w:val="11C26608"/>
    <w:rsid w:val="11E24C84"/>
    <w:rsid w:val="11FC4DC7"/>
    <w:rsid w:val="11FE6566"/>
    <w:rsid w:val="122A7355"/>
    <w:rsid w:val="12615AEF"/>
    <w:rsid w:val="12C15277"/>
    <w:rsid w:val="12F3065C"/>
    <w:rsid w:val="13525B1D"/>
    <w:rsid w:val="13740186"/>
    <w:rsid w:val="13CC58CF"/>
    <w:rsid w:val="13E56991"/>
    <w:rsid w:val="142D3227"/>
    <w:rsid w:val="144738C6"/>
    <w:rsid w:val="14A30D26"/>
    <w:rsid w:val="14B61B02"/>
    <w:rsid w:val="14E31F9B"/>
    <w:rsid w:val="15607CD0"/>
    <w:rsid w:val="1562473D"/>
    <w:rsid w:val="15C71B71"/>
    <w:rsid w:val="15FB1FF4"/>
    <w:rsid w:val="16076901"/>
    <w:rsid w:val="16CB00C0"/>
    <w:rsid w:val="16DD3E1F"/>
    <w:rsid w:val="16F2087A"/>
    <w:rsid w:val="178C4DEA"/>
    <w:rsid w:val="1795004A"/>
    <w:rsid w:val="17A06FB5"/>
    <w:rsid w:val="17DF37B3"/>
    <w:rsid w:val="18723C57"/>
    <w:rsid w:val="188267B6"/>
    <w:rsid w:val="18914582"/>
    <w:rsid w:val="18A57CB7"/>
    <w:rsid w:val="18E35B95"/>
    <w:rsid w:val="19C71B4A"/>
    <w:rsid w:val="19EA0D2D"/>
    <w:rsid w:val="1A1300A9"/>
    <w:rsid w:val="1A642D06"/>
    <w:rsid w:val="1A7778B3"/>
    <w:rsid w:val="1AAD6ACF"/>
    <w:rsid w:val="1BC31CAE"/>
    <w:rsid w:val="1C183DA8"/>
    <w:rsid w:val="1CAD1CD2"/>
    <w:rsid w:val="1D0C2296"/>
    <w:rsid w:val="1D4767E0"/>
    <w:rsid w:val="1D524416"/>
    <w:rsid w:val="1D7F39B2"/>
    <w:rsid w:val="1D9A259A"/>
    <w:rsid w:val="1DAF1492"/>
    <w:rsid w:val="1DBA792E"/>
    <w:rsid w:val="1DDF3A48"/>
    <w:rsid w:val="1E0D2474"/>
    <w:rsid w:val="1E5F4B4C"/>
    <w:rsid w:val="1E8735C8"/>
    <w:rsid w:val="201419D7"/>
    <w:rsid w:val="206D21E8"/>
    <w:rsid w:val="208A0FEC"/>
    <w:rsid w:val="20A26798"/>
    <w:rsid w:val="210E44E3"/>
    <w:rsid w:val="2150290B"/>
    <w:rsid w:val="2167398E"/>
    <w:rsid w:val="22492E08"/>
    <w:rsid w:val="225C5B12"/>
    <w:rsid w:val="22615C02"/>
    <w:rsid w:val="227A502C"/>
    <w:rsid w:val="22857CBD"/>
    <w:rsid w:val="22A95BA2"/>
    <w:rsid w:val="22DC650C"/>
    <w:rsid w:val="231348D6"/>
    <w:rsid w:val="237B68CE"/>
    <w:rsid w:val="23BA09FB"/>
    <w:rsid w:val="24415E66"/>
    <w:rsid w:val="244875F5"/>
    <w:rsid w:val="249D25A5"/>
    <w:rsid w:val="24B34BCF"/>
    <w:rsid w:val="25137FCD"/>
    <w:rsid w:val="25371392"/>
    <w:rsid w:val="253F5A6C"/>
    <w:rsid w:val="254E2437"/>
    <w:rsid w:val="261D2AED"/>
    <w:rsid w:val="26722565"/>
    <w:rsid w:val="267A2F51"/>
    <w:rsid w:val="26CD578F"/>
    <w:rsid w:val="27343A60"/>
    <w:rsid w:val="273F48DE"/>
    <w:rsid w:val="27A46490"/>
    <w:rsid w:val="2863431C"/>
    <w:rsid w:val="2875665E"/>
    <w:rsid w:val="288D0D2D"/>
    <w:rsid w:val="28972C25"/>
    <w:rsid w:val="28A32C4B"/>
    <w:rsid w:val="28D4324F"/>
    <w:rsid w:val="295944F4"/>
    <w:rsid w:val="298C5DAC"/>
    <w:rsid w:val="29BF3DA1"/>
    <w:rsid w:val="29EC6874"/>
    <w:rsid w:val="2A7D7FF6"/>
    <w:rsid w:val="2AFD6859"/>
    <w:rsid w:val="2B4335E1"/>
    <w:rsid w:val="2B6333E3"/>
    <w:rsid w:val="2B886A88"/>
    <w:rsid w:val="2BC6367B"/>
    <w:rsid w:val="2BFD08C4"/>
    <w:rsid w:val="2C9148A3"/>
    <w:rsid w:val="2D5A3A0A"/>
    <w:rsid w:val="2D81197D"/>
    <w:rsid w:val="2DE47F8D"/>
    <w:rsid w:val="2E9456E1"/>
    <w:rsid w:val="2EA24310"/>
    <w:rsid w:val="2EF16899"/>
    <w:rsid w:val="2F3C589B"/>
    <w:rsid w:val="2FE655D4"/>
    <w:rsid w:val="304651A3"/>
    <w:rsid w:val="308C19EB"/>
    <w:rsid w:val="30A031E3"/>
    <w:rsid w:val="30F30762"/>
    <w:rsid w:val="30F45563"/>
    <w:rsid w:val="317D5705"/>
    <w:rsid w:val="31A41574"/>
    <w:rsid w:val="31C83722"/>
    <w:rsid w:val="31E85C9C"/>
    <w:rsid w:val="323808A8"/>
    <w:rsid w:val="325F0B4D"/>
    <w:rsid w:val="32737BF5"/>
    <w:rsid w:val="32A213BA"/>
    <w:rsid w:val="32A80963"/>
    <w:rsid w:val="3334012A"/>
    <w:rsid w:val="3413103D"/>
    <w:rsid w:val="34207846"/>
    <w:rsid w:val="342F3CD9"/>
    <w:rsid w:val="3432082C"/>
    <w:rsid w:val="34397F49"/>
    <w:rsid w:val="343B5D10"/>
    <w:rsid w:val="344D0E7A"/>
    <w:rsid w:val="34521AB4"/>
    <w:rsid w:val="348769A5"/>
    <w:rsid w:val="34AB0A87"/>
    <w:rsid w:val="34C1681A"/>
    <w:rsid w:val="34CC59CE"/>
    <w:rsid w:val="34D02F37"/>
    <w:rsid w:val="35753960"/>
    <w:rsid w:val="35B83942"/>
    <w:rsid w:val="367C5BE2"/>
    <w:rsid w:val="36A9538A"/>
    <w:rsid w:val="36F6488E"/>
    <w:rsid w:val="370E7E29"/>
    <w:rsid w:val="371968E2"/>
    <w:rsid w:val="373A6BCB"/>
    <w:rsid w:val="37B57539"/>
    <w:rsid w:val="37D02A2A"/>
    <w:rsid w:val="38090CEC"/>
    <w:rsid w:val="381A7FBA"/>
    <w:rsid w:val="388E63F8"/>
    <w:rsid w:val="38971BC2"/>
    <w:rsid w:val="38AC766C"/>
    <w:rsid w:val="38AE749A"/>
    <w:rsid w:val="38B70CF0"/>
    <w:rsid w:val="38E70932"/>
    <w:rsid w:val="38F41270"/>
    <w:rsid w:val="390A63CE"/>
    <w:rsid w:val="391D78AC"/>
    <w:rsid w:val="39365415"/>
    <w:rsid w:val="394D45A6"/>
    <w:rsid w:val="398640DF"/>
    <w:rsid w:val="39992577"/>
    <w:rsid w:val="399A3E0C"/>
    <w:rsid w:val="39CC5EBD"/>
    <w:rsid w:val="39D54C2E"/>
    <w:rsid w:val="39E81F2F"/>
    <w:rsid w:val="3A81016D"/>
    <w:rsid w:val="3AA36ADA"/>
    <w:rsid w:val="3AFB17F3"/>
    <w:rsid w:val="3B36676D"/>
    <w:rsid w:val="3B550DD1"/>
    <w:rsid w:val="3B5D69B6"/>
    <w:rsid w:val="3B5E3BDF"/>
    <w:rsid w:val="3BB56AC5"/>
    <w:rsid w:val="3C5C74E7"/>
    <w:rsid w:val="3CD40E01"/>
    <w:rsid w:val="3CF71D31"/>
    <w:rsid w:val="3CFB5EF8"/>
    <w:rsid w:val="3D3D6FF2"/>
    <w:rsid w:val="3D993965"/>
    <w:rsid w:val="3DA260E4"/>
    <w:rsid w:val="3DCB0D17"/>
    <w:rsid w:val="3DD63950"/>
    <w:rsid w:val="3E320C70"/>
    <w:rsid w:val="3E5E7972"/>
    <w:rsid w:val="3E607EE9"/>
    <w:rsid w:val="3EBD534C"/>
    <w:rsid w:val="3ED43706"/>
    <w:rsid w:val="3F6C06C6"/>
    <w:rsid w:val="3FAB7A48"/>
    <w:rsid w:val="3FE2257C"/>
    <w:rsid w:val="40664832"/>
    <w:rsid w:val="40B437EF"/>
    <w:rsid w:val="41464ACC"/>
    <w:rsid w:val="41581F60"/>
    <w:rsid w:val="41717932"/>
    <w:rsid w:val="41A44458"/>
    <w:rsid w:val="41BE1E20"/>
    <w:rsid w:val="42220C2D"/>
    <w:rsid w:val="42852EA8"/>
    <w:rsid w:val="4293471F"/>
    <w:rsid w:val="42F90A32"/>
    <w:rsid w:val="430D7F8E"/>
    <w:rsid w:val="43F57751"/>
    <w:rsid w:val="444C3D3F"/>
    <w:rsid w:val="44872CDE"/>
    <w:rsid w:val="44FD328B"/>
    <w:rsid w:val="4541586E"/>
    <w:rsid w:val="45720A05"/>
    <w:rsid w:val="458A1EC5"/>
    <w:rsid w:val="46005E3F"/>
    <w:rsid w:val="4662784A"/>
    <w:rsid w:val="46A2233C"/>
    <w:rsid w:val="46F510AD"/>
    <w:rsid w:val="476815C7"/>
    <w:rsid w:val="476B520D"/>
    <w:rsid w:val="478B1F99"/>
    <w:rsid w:val="47DF3967"/>
    <w:rsid w:val="47E035E6"/>
    <w:rsid w:val="48084421"/>
    <w:rsid w:val="4883435B"/>
    <w:rsid w:val="48D43D1E"/>
    <w:rsid w:val="48D57FA8"/>
    <w:rsid w:val="48DE0077"/>
    <w:rsid w:val="48E129FC"/>
    <w:rsid w:val="48F0427A"/>
    <w:rsid w:val="48FA64F7"/>
    <w:rsid w:val="49013380"/>
    <w:rsid w:val="490177EE"/>
    <w:rsid w:val="492376A7"/>
    <w:rsid w:val="49312096"/>
    <w:rsid w:val="495F6869"/>
    <w:rsid w:val="49F118C7"/>
    <w:rsid w:val="4A070E34"/>
    <w:rsid w:val="4A5B1180"/>
    <w:rsid w:val="4A631DE2"/>
    <w:rsid w:val="4AC07235"/>
    <w:rsid w:val="4AD1562C"/>
    <w:rsid w:val="4AF02DF5"/>
    <w:rsid w:val="4B95246F"/>
    <w:rsid w:val="4BA83D98"/>
    <w:rsid w:val="4BB7617C"/>
    <w:rsid w:val="4BBF1507"/>
    <w:rsid w:val="4BFC604B"/>
    <w:rsid w:val="4C0F5D7E"/>
    <w:rsid w:val="4C731BC5"/>
    <w:rsid w:val="4CCE5C39"/>
    <w:rsid w:val="4D2B2FC8"/>
    <w:rsid w:val="4D45368F"/>
    <w:rsid w:val="4DAD5612"/>
    <w:rsid w:val="4DE5762A"/>
    <w:rsid w:val="4E266E14"/>
    <w:rsid w:val="4E5D473F"/>
    <w:rsid w:val="4ED83328"/>
    <w:rsid w:val="4EF2257D"/>
    <w:rsid w:val="4F5C7F0E"/>
    <w:rsid w:val="4F716F92"/>
    <w:rsid w:val="500A3B70"/>
    <w:rsid w:val="50120532"/>
    <w:rsid w:val="502E1A33"/>
    <w:rsid w:val="503038BC"/>
    <w:rsid w:val="507E53E9"/>
    <w:rsid w:val="508605D9"/>
    <w:rsid w:val="510F2479"/>
    <w:rsid w:val="51194B95"/>
    <w:rsid w:val="51225BD6"/>
    <w:rsid w:val="512C7D0E"/>
    <w:rsid w:val="51684741"/>
    <w:rsid w:val="51A70807"/>
    <w:rsid w:val="51A96C75"/>
    <w:rsid w:val="51C159B6"/>
    <w:rsid w:val="51FB20D9"/>
    <w:rsid w:val="52B92EE7"/>
    <w:rsid w:val="536F3F64"/>
    <w:rsid w:val="53915C12"/>
    <w:rsid w:val="53C76776"/>
    <w:rsid w:val="53F2181D"/>
    <w:rsid w:val="541F024E"/>
    <w:rsid w:val="545D78A2"/>
    <w:rsid w:val="54AA0D3A"/>
    <w:rsid w:val="54D74270"/>
    <w:rsid w:val="54FA07F5"/>
    <w:rsid w:val="554371F5"/>
    <w:rsid w:val="555E06F7"/>
    <w:rsid w:val="55B50336"/>
    <w:rsid w:val="55BA1450"/>
    <w:rsid w:val="561832DE"/>
    <w:rsid w:val="561A141E"/>
    <w:rsid w:val="5627460C"/>
    <w:rsid w:val="565C2507"/>
    <w:rsid w:val="56E42053"/>
    <w:rsid w:val="56FC0602"/>
    <w:rsid w:val="5765719A"/>
    <w:rsid w:val="57A2165A"/>
    <w:rsid w:val="57CC467C"/>
    <w:rsid w:val="57CE11E3"/>
    <w:rsid w:val="57DC1582"/>
    <w:rsid w:val="58421289"/>
    <w:rsid w:val="5865530E"/>
    <w:rsid w:val="5879403E"/>
    <w:rsid w:val="589A2A25"/>
    <w:rsid w:val="58B80B83"/>
    <w:rsid w:val="58FA1B64"/>
    <w:rsid w:val="594259FD"/>
    <w:rsid w:val="595A6F42"/>
    <w:rsid w:val="59767587"/>
    <w:rsid w:val="597B2CA5"/>
    <w:rsid w:val="597B74C5"/>
    <w:rsid w:val="59A64640"/>
    <w:rsid w:val="59B368E2"/>
    <w:rsid w:val="59C34C08"/>
    <w:rsid w:val="59C712AA"/>
    <w:rsid w:val="59C7413C"/>
    <w:rsid w:val="5A5764CD"/>
    <w:rsid w:val="5A607A3D"/>
    <w:rsid w:val="5AA46ECD"/>
    <w:rsid w:val="5AAD1584"/>
    <w:rsid w:val="5B6D7140"/>
    <w:rsid w:val="5B9468EE"/>
    <w:rsid w:val="5BBB7CD0"/>
    <w:rsid w:val="5D4439CA"/>
    <w:rsid w:val="5D6B648E"/>
    <w:rsid w:val="5D9F135B"/>
    <w:rsid w:val="5E2F076D"/>
    <w:rsid w:val="5E6463FD"/>
    <w:rsid w:val="5E790964"/>
    <w:rsid w:val="5EC7569F"/>
    <w:rsid w:val="5F706F80"/>
    <w:rsid w:val="5F886A62"/>
    <w:rsid w:val="5FCA6F11"/>
    <w:rsid w:val="602C06B5"/>
    <w:rsid w:val="602E0052"/>
    <w:rsid w:val="60D35346"/>
    <w:rsid w:val="61614E76"/>
    <w:rsid w:val="61690DB4"/>
    <w:rsid w:val="61CA3298"/>
    <w:rsid w:val="628B5812"/>
    <w:rsid w:val="62F802FD"/>
    <w:rsid w:val="63317221"/>
    <w:rsid w:val="63526DF6"/>
    <w:rsid w:val="635A3964"/>
    <w:rsid w:val="63885CF8"/>
    <w:rsid w:val="64966BE4"/>
    <w:rsid w:val="64F0280B"/>
    <w:rsid w:val="657A44D6"/>
    <w:rsid w:val="65B50060"/>
    <w:rsid w:val="65F04C9D"/>
    <w:rsid w:val="65F306B0"/>
    <w:rsid w:val="65FB40E6"/>
    <w:rsid w:val="66CC0FE3"/>
    <w:rsid w:val="66DB4AFA"/>
    <w:rsid w:val="67102057"/>
    <w:rsid w:val="67315797"/>
    <w:rsid w:val="6759039D"/>
    <w:rsid w:val="67C83643"/>
    <w:rsid w:val="67F960DD"/>
    <w:rsid w:val="69085BD7"/>
    <w:rsid w:val="69C25AA3"/>
    <w:rsid w:val="69F23783"/>
    <w:rsid w:val="69FC398E"/>
    <w:rsid w:val="6A162576"/>
    <w:rsid w:val="6A38191E"/>
    <w:rsid w:val="6A8076C2"/>
    <w:rsid w:val="6AA85124"/>
    <w:rsid w:val="6AF9537C"/>
    <w:rsid w:val="6B024208"/>
    <w:rsid w:val="6B044E18"/>
    <w:rsid w:val="6BB46374"/>
    <w:rsid w:val="6C2447F7"/>
    <w:rsid w:val="6C7314AA"/>
    <w:rsid w:val="6C83420E"/>
    <w:rsid w:val="6CBC5570"/>
    <w:rsid w:val="6CEE223A"/>
    <w:rsid w:val="6D0F39D8"/>
    <w:rsid w:val="6D4A6969"/>
    <w:rsid w:val="6E0F1FBE"/>
    <w:rsid w:val="6E1E69E1"/>
    <w:rsid w:val="6E2F672D"/>
    <w:rsid w:val="6E407BC1"/>
    <w:rsid w:val="6E6249CD"/>
    <w:rsid w:val="6E950B9B"/>
    <w:rsid w:val="6EAB3BD4"/>
    <w:rsid w:val="6EBB08AF"/>
    <w:rsid w:val="6EDA78D3"/>
    <w:rsid w:val="6F384C48"/>
    <w:rsid w:val="6F477622"/>
    <w:rsid w:val="6F5A62C7"/>
    <w:rsid w:val="6F615C6F"/>
    <w:rsid w:val="6F660B08"/>
    <w:rsid w:val="6F7B5D82"/>
    <w:rsid w:val="6F9730B3"/>
    <w:rsid w:val="6FAA44F4"/>
    <w:rsid w:val="6FD17CF8"/>
    <w:rsid w:val="6FF663A1"/>
    <w:rsid w:val="6FFB6EDC"/>
    <w:rsid w:val="70016193"/>
    <w:rsid w:val="701B6B38"/>
    <w:rsid w:val="709D24B2"/>
    <w:rsid w:val="70A87770"/>
    <w:rsid w:val="70BB57A7"/>
    <w:rsid w:val="70C7499B"/>
    <w:rsid w:val="7153095E"/>
    <w:rsid w:val="718F6E95"/>
    <w:rsid w:val="71C635E9"/>
    <w:rsid w:val="71D201F3"/>
    <w:rsid w:val="71D376CA"/>
    <w:rsid w:val="72263DDD"/>
    <w:rsid w:val="72493E07"/>
    <w:rsid w:val="727F2EAB"/>
    <w:rsid w:val="72A20E4A"/>
    <w:rsid w:val="72B254F7"/>
    <w:rsid w:val="74366C27"/>
    <w:rsid w:val="74695989"/>
    <w:rsid w:val="748D7352"/>
    <w:rsid w:val="74A240E6"/>
    <w:rsid w:val="74BA06F2"/>
    <w:rsid w:val="74FE525D"/>
    <w:rsid w:val="75114919"/>
    <w:rsid w:val="752263A0"/>
    <w:rsid w:val="75287D2D"/>
    <w:rsid w:val="754F3915"/>
    <w:rsid w:val="760F04BC"/>
    <w:rsid w:val="762E7AE8"/>
    <w:rsid w:val="763E70DC"/>
    <w:rsid w:val="76402E54"/>
    <w:rsid w:val="768C388F"/>
    <w:rsid w:val="7694300E"/>
    <w:rsid w:val="76B2654C"/>
    <w:rsid w:val="76EC21F3"/>
    <w:rsid w:val="771B187E"/>
    <w:rsid w:val="77566864"/>
    <w:rsid w:val="777F4178"/>
    <w:rsid w:val="77904753"/>
    <w:rsid w:val="77D24D17"/>
    <w:rsid w:val="77DE0D11"/>
    <w:rsid w:val="77F44EF9"/>
    <w:rsid w:val="77F7660B"/>
    <w:rsid w:val="785D4111"/>
    <w:rsid w:val="78A27DF6"/>
    <w:rsid w:val="78EB2C39"/>
    <w:rsid w:val="79112A25"/>
    <w:rsid w:val="796450AB"/>
    <w:rsid w:val="797B2773"/>
    <w:rsid w:val="79D744CC"/>
    <w:rsid w:val="7A3B709D"/>
    <w:rsid w:val="7A4B1DC7"/>
    <w:rsid w:val="7A671E11"/>
    <w:rsid w:val="7ABC729A"/>
    <w:rsid w:val="7ABF6110"/>
    <w:rsid w:val="7AC5601E"/>
    <w:rsid w:val="7BF72A8E"/>
    <w:rsid w:val="7C5403DF"/>
    <w:rsid w:val="7C55517F"/>
    <w:rsid w:val="7C8778FD"/>
    <w:rsid w:val="7D5442AA"/>
    <w:rsid w:val="7DC91835"/>
    <w:rsid w:val="7DCE1BCA"/>
    <w:rsid w:val="7DEE5E00"/>
    <w:rsid w:val="7E0B1EF0"/>
    <w:rsid w:val="7F49374C"/>
    <w:rsid w:val="7F8A15E4"/>
    <w:rsid w:val="7F9935D5"/>
    <w:rsid w:val="7FA91A6A"/>
    <w:rsid w:val="7FFC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ordWrap w:val="0"/>
      <w:jc w:val="both"/>
    </w:pPr>
    <w:rPr>
      <w:rFonts w:ascii="宋体" w:hAnsi="Times New Roman" w:eastAsia="Calibri" w:cs="Times New Roman"/>
      <w:sz w:val="21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spacing w:after="160"/>
      <w:jc w:val="both"/>
    </w:pPr>
    <w:rPr>
      <w:rFonts w:ascii="Times New Roman" w:hAnsi="Times New Roman"/>
      <w:sz w:val="28"/>
    </w:rPr>
  </w:style>
  <w:style w:type="paragraph" w:styleId="5">
    <w:name w:val="heading 2"/>
    <w:basedOn w:val="1"/>
    <w:next w:val="1"/>
    <w:qFormat/>
    <w:uiPriority w:val="0"/>
    <w:pPr>
      <w:spacing w:after="160"/>
      <w:outlineLvl w:val="1"/>
    </w:pPr>
  </w:style>
  <w:style w:type="paragraph" w:styleId="6">
    <w:name w:val="heading 3"/>
    <w:next w:val="1"/>
    <w:qFormat/>
    <w:uiPriority w:val="0"/>
    <w:pPr>
      <w:wordWrap w:val="0"/>
      <w:spacing w:after="160"/>
      <w:ind w:left="1400" w:hanging="400"/>
      <w:jc w:val="both"/>
      <w:outlineLvl w:val="2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7">
    <w:name w:val="heading 4"/>
    <w:basedOn w:val="1"/>
    <w:next w:val="1"/>
    <w:qFormat/>
    <w:uiPriority w:val="0"/>
    <w:pPr>
      <w:spacing w:after="160"/>
      <w:ind w:left="1600" w:hanging="400"/>
      <w:outlineLvl w:val="3"/>
    </w:pPr>
    <w:rPr>
      <w:b/>
    </w:rPr>
  </w:style>
  <w:style w:type="paragraph" w:styleId="8">
    <w:name w:val="heading 5"/>
    <w:next w:val="1"/>
    <w:qFormat/>
    <w:uiPriority w:val="0"/>
    <w:pPr>
      <w:wordWrap w:val="0"/>
      <w:spacing w:after="160"/>
      <w:ind w:left="1800" w:hanging="400"/>
      <w:jc w:val="both"/>
      <w:outlineLvl w:val="4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9">
    <w:name w:val="heading 6"/>
    <w:next w:val="1"/>
    <w:qFormat/>
    <w:uiPriority w:val="0"/>
    <w:pPr>
      <w:wordWrap w:val="0"/>
      <w:spacing w:after="160"/>
      <w:ind w:left="2000" w:hanging="400"/>
      <w:jc w:val="both"/>
      <w:outlineLvl w:val="5"/>
    </w:pPr>
    <w:rPr>
      <w:rFonts w:ascii="Times New Roman" w:hAnsi="Times New Roman" w:eastAsia="宋体" w:cs="Times New Roman"/>
      <w:b/>
      <w:sz w:val="21"/>
      <w:lang w:val="en-US" w:eastAsia="zh-CN" w:bidi="ar-SA"/>
    </w:rPr>
  </w:style>
  <w:style w:type="paragraph" w:styleId="10">
    <w:name w:val="heading 7"/>
    <w:next w:val="1"/>
    <w:qFormat/>
    <w:uiPriority w:val="0"/>
    <w:pPr>
      <w:wordWrap w:val="0"/>
      <w:spacing w:after="160"/>
      <w:ind w:left="2200" w:hanging="400"/>
      <w:jc w:val="both"/>
      <w:outlineLvl w:val="6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1">
    <w:name w:val="heading 8"/>
    <w:next w:val="1"/>
    <w:qFormat/>
    <w:uiPriority w:val="0"/>
    <w:pPr>
      <w:wordWrap w:val="0"/>
      <w:spacing w:after="160"/>
      <w:ind w:left="2400" w:hanging="400"/>
      <w:jc w:val="both"/>
      <w:outlineLvl w:val="7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2">
    <w:name w:val="heading 9"/>
    <w:next w:val="1"/>
    <w:qFormat/>
    <w:uiPriority w:val="0"/>
    <w:pPr>
      <w:wordWrap w:val="0"/>
      <w:spacing w:after="160"/>
      <w:ind w:left="2600" w:hanging="400"/>
      <w:jc w:val="both"/>
      <w:outlineLvl w:val="8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40">
    <w:name w:val="Default Paragraph Font"/>
    <w:semiHidden/>
    <w:unhideWhenUsed/>
    <w:qFormat/>
    <w:uiPriority w:val="1"/>
  </w:style>
  <w:style w:type="table" w:default="1" w:styleId="3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4"/>
    <w:next w:val="1"/>
    <w:link w:val="73"/>
    <w:qFormat/>
    <w:uiPriority w:val="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paragraph" w:styleId="4">
    <w:name w:val="List 2"/>
    <w:basedOn w:val="1"/>
    <w:qFormat/>
    <w:uiPriority w:val="0"/>
    <w:pPr>
      <w:ind w:left="100" w:leftChars="200" w:hanging="200" w:hangingChars="200"/>
      <w:contextualSpacing/>
    </w:pPr>
    <w:rPr>
      <w:rFonts w:ascii="Calibri" w:hAnsi="Calibri" w:eastAsia="宋体"/>
    </w:rPr>
  </w:style>
  <w:style w:type="paragraph" w:styleId="13">
    <w:name w:val="toc 7"/>
    <w:next w:val="1"/>
    <w:qFormat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4">
    <w:name w:val="index 8"/>
    <w:basedOn w:val="1"/>
    <w:next w:val="1"/>
    <w:qFormat/>
    <w:uiPriority w:val="0"/>
    <w:pPr>
      <w:spacing w:line="400" w:lineRule="exact"/>
      <w:ind w:left="2940" w:firstLine="200" w:firstLineChars="200"/>
      <w:jc w:val="left"/>
    </w:pPr>
  </w:style>
  <w:style w:type="paragraph" w:styleId="15">
    <w:name w:val="Normal Indent"/>
    <w:basedOn w:val="1"/>
    <w:next w:val="1"/>
    <w:qFormat/>
    <w:uiPriority w:val="0"/>
    <w:pPr>
      <w:ind w:left="3400"/>
    </w:pPr>
  </w:style>
  <w:style w:type="paragraph" w:styleId="16">
    <w:name w:val="annotation text"/>
    <w:basedOn w:val="1"/>
    <w:link w:val="72"/>
    <w:qFormat/>
    <w:uiPriority w:val="0"/>
    <w:pPr>
      <w:jc w:val="left"/>
    </w:pPr>
  </w:style>
  <w:style w:type="paragraph" w:styleId="17">
    <w:name w:val="Body Text"/>
    <w:basedOn w:val="1"/>
    <w:next w:val="18"/>
    <w:unhideWhenUsed/>
    <w:qFormat/>
    <w:uiPriority w:val="1"/>
    <w:pPr>
      <w:autoSpaceDE w:val="0"/>
      <w:autoSpaceDN w:val="0"/>
      <w:adjustRightInd w:val="0"/>
      <w:ind w:left="118"/>
      <w:jc w:val="left"/>
    </w:pPr>
    <w:rPr>
      <w:rFonts w:hint="eastAsia" w:ascii="仿宋" w:hAnsi="仿宋" w:eastAsia="仿宋"/>
    </w:rPr>
  </w:style>
  <w:style w:type="paragraph" w:styleId="18">
    <w:name w:val="toc 2"/>
    <w:basedOn w:val="1"/>
    <w:next w:val="1"/>
    <w:qFormat/>
    <w:uiPriority w:val="0"/>
    <w:rPr>
      <w:rFonts w:ascii="Times New Roman" w:eastAsia="宋体"/>
    </w:rPr>
  </w:style>
  <w:style w:type="paragraph" w:styleId="19">
    <w:name w:val="Body Text Indent"/>
    <w:basedOn w:val="1"/>
    <w:next w:val="20"/>
    <w:qFormat/>
    <w:uiPriority w:val="0"/>
    <w:pPr>
      <w:ind w:firstLine="830" w:firstLineChars="352"/>
    </w:pPr>
    <w:rPr>
      <w:rFonts w:ascii="仿宋_GB2312" w:eastAsia="仿宋_GB2312"/>
      <w:sz w:val="32"/>
    </w:rPr>
  </w:style>
  <w:style w:type="paragraph" w:customStyle="1" w:styleId="20">
    <w:name w:val="样式 正文文本缩进 + 首行缩进:  2 字符 行距: 1.5 倍行距"/>
    <w:basedOn w:val="19"/>
    <w:qFormat/>
    <w:uiPriority w:val="0"/>
    <w:rPr>
      <w:rFonts w:cs="宋体"/>
    </w:rPr>
  </w:style>
  <w:style w:type="paragraph" w:styleId="21">
    <w:name w:val="toc 5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2">
    <w:name w:val="toc 3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3">
    <w:name w:val="Plain Text"/>
    <w:basedOn w:val="1"/>
    <w:next w:val="14"/>
    <w:link w:val="69"/>
    <w:qFormat/>
    <w:uiPriority w:val="0"/>
    <w:rPr>
      <w:rFonts w:hAnsi="Courier New" w:eastAsia="宋体"/>
      <w:szCs w:val="21"/>
    </w:rPr>
  </w:style>
  <w:style w:type="paragraph" w:styleId="24">
    <w:name w:val="toc 8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5">
    <w:name w:val="Balloon Text"/>
    <w:basedOn w:val="1"/>
    <w:link w:val="64"/>
    <w:qFormat/>
    <w:uiPriority w:val="0"/>
    <w:rPr>
      <w:sz w:val="18"/>
      <w:szCs w:val="18"/>
    </w:rPr>
  </w:style>
  <w:style w:type="paragraph" w:styleId="26">
    <w:name w:val="footer"/>
    <w:basedOn w:val="1"/>
    <w:link w:val="6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7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28">
    <w:name w:val="header"/>
    <w:basedOn w:val="1"/>
    <w:link w:val="7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9">
    <w:name w:val="toc 1"/>
    <w:basedOn w:val="1"/>
    <w:next w:val="1"/>
    <w:qFormat/>
    <w:uiPriority w:val="39"/>
  </w:style>
  <w:style w:type="paragraph" w:styleId="30">
    <w:name w:val="toc 4"/>
    <w:next w:val="1"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31">
    <w:name w:val="Subtitle"/>
    <w:next w:val="1"/>
    <w:qFormat/>
    <w:uiPriority w:val="0"/>
    <w:pPr>
      <w:wordWrap w:val="0"/>
      <w:spacing w:after="60"/>
      <w:jc w:val="center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32">
    <w:name w:val="toc 6"/>
    <w:next w:val="1"/>
    <w:qFormat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33">
    <w:name w:val="toc 9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3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Arial" w:hAnsi="Arial"/>
      <w:spacing w:val="4"/>
      <w:sz w:val="24"/>
    </w:rPr>
  </w:style>
  <w:style w:type="paragraph" w:styleId="35">
    <w:name w:val="annotation subject"/>
    <w:basedOn w:val="16"/>
    <w:next w:val="16"/>
    <w:link w:val="70"/>
    <w:qFormat/>
    <w:uiPriority w:val="0"/>
    <w:rPr>
      <w:b/>
      <w:bCs/>
    </w:rPr>
  </w:style>
  <w:style w:type="paragraph" w:styleId="36">
    <w:name w:val="Body Text First Indent 2"/>
    <w:basedOn w:val="19"/>
    <w:next w:val="37"/>
    <w:qFormat/>
    <w:uiPriority w:val="0"/>
    <w:pPr>
      <w:spacing w:after="120"/>
      <w:ind w:left="420" w:leftChars="200" w:firstLine="420" w:firstLineChars="200"/>
    </w:pPr>
    <w:rPr>
      <w:rFonts w:ascii="Times New Roman" w:eastAsia="宋体"/>
      <w:szCs w:val="24"/>
    </w:rPr>
  </w:style>
  <w:style w:type="paragraph" w:customStyle="1" w:styleId="37">
    <w:name w:val="**正文"/>
    <w:basedOn w:val="1"/>
    <w:qFormat/>
    <w:uiPriority w:val="0"/>
    <w:pPr>
      <w:ind w:firstLine="482"/>
    </w:pPr>
    <w:rPr>
      <w:rFonts w:ascii="宋体" w:hAnsi="宋体"/>
      <w:sz w:val="24"/>
    </w:rPr>
  </w:style>
  <w:style w:type="table" w:styleId="39">
    <w:name w:val="Table Grid"/>
    <w:basedOn w:val="3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1">
    <w:name w:val="Strong"/>
    <w:basedOn w:val="40"/>
    <w:qFormat/>
    <w:uiPriority w:val="0"/>
    <w:rPr>
      <w:b/>
      <w:sz w:val="20"/>
    </w:rPr>
  </w:style>
  <w:style w:type="character" w:styleId="42">
    <w:name w:val="page number"/>
    <w:qFormat/>
    <w:uiPriority w:val="0"/>
  </w:style>
  <w:style w:type="character" w:styleId="43">
    <w:name w:val="Emphasis"/>
    <w:qFormat/>
    <w:uiPriority w:val="0"/>
    <w:rPr>
      <w:i/>
      <w:sz w:val="20"/>
    </w:rPr>
  </w:style>
  <w:style w:type="character" w:styleId="44">
    <w:name w:val="Hyperlink"/>
    <w:unhideWhenUsed/>
    <w:qFormat/>
    <w:uiPriority w:val="99"/>
    <w:rPr>
      <w:color w:val="0563C1"/>
      <w:u w:val="single"/>
    </w:rPr>
  </w:style>
  <w:style w:type="character" w:styleId="45">
    <w:name w:val="annotation reference"/>
    <w:qFormat/>
    <w:uiPriority w:val="0"/>
    <w:rPr>
      <w:sz w:val="21"/>
      <w:szCs w:val="21"/>
    </w:rPr>
  </w:style>
  <w:style w:type="paragraph" w:customStyle="1" w:styleId="46">
    <w:name w:val="首行缩进"/>
    <w:basedOn w:val="1"/>
    <w:qFormat/>
    <w:uiPriority w:val="0"/>
    <w:pPr>
      <w:ind w:firstLine="480" w:firstLineChars="200"/>
    </w:pPr>
  </w:style>
  <w:style w:type="paragraph" w:customStyle="1" w:styleId="47">
    <w:name w:val="表格文字"/>
    <w:basedOn w:val="1"/>
    <w:qFormat/>
    <w:uiPriority w:val="99"/>
    <w:pPr>
      <w:spacing w:before="25" w:after="25"/>
      <w:jc w:val="left"/>
    </w:pPr>
    <w:rPr>
      <w:bCs/>
      <w:spacing w:val="10"/>
      <w:sz w:val="24"/>
    </w:rPr>
  </w:style>
  <w:style w:type="paragraph" w:styleId="48">
    <w:name w:val="List Paragraph"/>
    <w:basedOn w:val="1"/>
    <w:next w:val="1"/>
    <w:qFormat/>
    <w:uiPriority w:val="0"/>
    <w:pPr>
      <w:ind w:left="850"/>
    </w:pPr>
  </w:style>
  <w:style w:type="paragraph" w:customStyle="1" w:styleId="49">
    <w:name w:val="TOC Heading1"/>
    <w:next w:val="1"/>
    <w:qFormat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50">
    <w:name w:val="_Style 39"/>
    <w:next w:val="1"/>
    <w:qFormat/>
    <w:uiPriority w:val="39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51">
    <w:name w:val="TOC 21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2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53">
    <w:name w:val="TOC 51"/>
    <w:next w:val="1"/>
    <w:qFormat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4">
    <w:name w:val="TOC 81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5">
    <w:name w:val="列出段落1"/>
    <w:basedOn w:val="1"/>
    <w:qFormat/>
    <w:uiPriority w:val="99"/>
    <w:pPr>
      <w:ind w:firstLine="420" w:firstLineChars="200"/>
    </w:pPr>
    <w:rPr>
      <w:rFonts w:ascii="Times New Roman" w:eastAsia="宋体"/>
    </w:rPr>
  </w:style>
  <w:style w:type="paragraph" w:customStyle="1" w:styleId="56">
    <w:name w:val="TOC 91"/>
    <w:next w:val="1"/>
    <w:qFormat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7">
    <w:name w:val="TOC 41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8">
    <w:name w:val="TOC 31"/>
    <w:next w:val="1"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9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0">
    <w:name w:val="TOC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1">
    <w:name w:val="TOC 61"/>
    <w:next w:val="1"/>
    <w:qFormat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2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character" w:customStyle="1" w:styleId="63">
    <w:name w:val="纯文本 Char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64">
    <w:name w:val="批注框文本 Char"/>
    <w:link w:val="25"/>
    <w:qFormat/>
    <w:uiPriority w:val="0"/>
    <w:rPr>
      <w:rFonts w:ascii="宋体" w:eastAsia="Calibri"/>
      <w:sz w:val="18"/>
      <w:szCs w:val="18"/>
    </w:rPr>
  </w:style>
  <w:style w:type="character" w:customStyle="1" w:styleId="65">
    <w:name w:val="_Style 55"/>
    <w:qFormat/>
    <w:uiPriority w:val="0"/>
    <w:rPr>
      <w:i/>
      <w:sz w:val="20"/>
    </w:rPr>
  </w:style>
  <w:style w:type="character" w:customStyle="1" w:styleId="66">
    <w:name w:val="页脚 Char"/>
    <w:link w:val="26"/>
    <w:qFormat/>
    <w:uiPriority w:val="0"/>
    <w:rPr>
      <w:rFonts w:ascii="宋体" w:eastAsia="Calibri"/>
      <w:sz w:val="18"/>
      <w:szCs w:val="18"/>
    </w:rPr>
  </w:style>
  <w:style w:type="character" w:customStyle="1" w:styleId="67">
    <w:name w:val="_Style 57"/>
    <w:qFormat/>
    <w:uiPriority w:val="0"/>
    <w:rPr>
      <w:sz w:val="20"/>
    </w:rPr>
  </w:style>
  <w:style w:type="character" w:customStyle="1" w:styleId="68">
    <w:name w:val="_Style 58"/>
    <w:qFormat/>
    <w:uiPriority w:val="0"/>
    <w:rPr>
      <w:i/>
      <w:sz w:val="20"/>
    </w:rPr>
  </w:style>
  <w:style w:type="character" w:customStyle="1" w:styleId="69">
    <w:name w:val="纯文本 Char"/>
    <w:link w:val="23"/>
    <w:qFormat/>
    <w:uiPriority w:val="99"/>
    <w:rPr>
      <w:rFonts w:ascii="宋体" w:hAnsi="Courier New" w:cs="Courier New"/>
      <w:sz w:val="21"/>
      <w:szCs w:val="21"/>
    </w:rPr>
  </w:style>
  <w:style w:type="character" w:customStyle="1" w:styleId="70">
    <w:name w:val="批注主题 Char"/>
    <w:link w:val="35"/>
    <w:qFormat/>
    <w:uiPriority w:val="0"/>
    <w:rPr>
      <w:rFonts w:ascii="宋体" w:eastAsia="Calibri"/>
      <w:b/>
      <w:bCs/>
      <w:sz w:val="21"/>
    </w:rPr>
  </w:style>
  <w:style w:type="character" w:customStyle="1" w:styleId="71">
    <w:name w:val="页眉 Char"/>
    <w:link w:val="28"/>
    <w:qFormat/>
    <w:uiPriority w:val="0"/>
    <w:rPr>
      <w:rFonts w:ascii="宋体" w:eastAsia="Calibri"/>
      <w:sz w:val="18"/>
      <w:szCs w:val="18"/>
    </w:rPr>
  </w:style>
  <w:style w:type="character" w:customStyle="1" w:styleId="72">
    <w:name w:val="批注文字 Char"/>
    <w:link w:val="16"/>
    <w:qFormat/>
    <w:uiPriority w:val="0"/>
    <w:rPr>
      <w:rFonts w:ascii="宋体" w:eastAsia="Calibri"/>
      <w:sz w:val="21"/>
    </w:rPr>
  </w:style>
  <w:style w:type="character" w:customStyle="1" w:styleId="73">
    <w:name w:val="标题 Char"/>
    <w:link w:val="3"/>
    <w:qFormat/>
    <w:uiPriority w:val="0"/>
    <w:rPr>
      <w:rFonts w:ascii="等线 Light" w:hAnsi="等线 Light" w:cs="Times New Roman"/>
      <w:b/>
      <w:bCs/>
      <w:sz w:val="32"/>
      <w:szCs w:val="32"/>
    </w:rPr>
  </w:style>
  <w:style w:type="character" w:customStyle="1" w:styleId="74">
    <w:name w:val="_Style 64"/>
    <w:qFormat/>
    <w:uiPriority w:val="0"/>
    <w:rPr>
      <w:b/>
      <w:i/>
      <w:sz w:val="20"/>
    </w:rPr>
  </w:style>
  <w:style w:type="character" w:customStyle="1" w:styleId="75">
    <w:name w:val="_Style 65"/>
    <w:qFormat/>
    <w:uiPriority w:val="0"/>
    <w:rPr>
      <w:b/>
      <w:sz w:val="20"/>
    </w:rPr>
  </w:style>
  <w:style w:type="paragraph" w:customStyle="1" w:styleId="76">
    <w:name w:val="样式1"/>
    <w:basedOn w:val="5"/>
    <w:qFormat/>
    <w:uiPriority w:val="0"/>
    <w:pPr>
      <w:spacing w:before="100" w:beforeAutospacing="1" w:after="100" w:afterAutospacing="1"/>
      <w:ind w:left="678" w:leftChars="100" w:right="100" w:rightChars="100" w:hanging="578"/>
    </w:pPr>
    <w:rPr>
      <w:rFonts w:ascii="Calibri" w:hAnsi="Calibri" w:eastAsia="宋体"/>
    </w:rPr>
  </w:style>
  <w:style w:type="character" w:customStyle="1" w:styleId="77">
    <w:name w:val="Body text|2_"/>
    <w:basedOn w:val="40"/>
    <w:link w:val="78"/>
    <w:qFormat/>
    <w:uiPriority w:val="0"/>
    <w:rPr>
      <w:rFonts w:ascii="宋体" w:hAnsi="宋体" w:eastAsia="宋体" w:cs="宋体"/>
      <w:lang w:val="zh-TW" w:eastAsia="zh-TW" w:bidi="zh-TW"/>
    </w:rPr>
  </w:style>
  <w:style w:type="paragraph" w:customStyle="1" w:styleId="78">
    <w:name w:val="Body text|2"/>
    <w:basedOn w:val="1"/>
    <w:link w:val="77"/>
    <w:qFormat/>
    <w:uiPriority w:val="0"/>
    <w:pPr>
      <w:spacing w:after="80"/>
      <w:ind w:left="3100"/>
    </w:pPr>
    <w:rPr>
      <w:rFonts w:hAnsi="宋体" w:eastAsia="宋体" w:cs="宋体"/>
      <w:lang w:val="zh-TW" w:eastAsia="zh-TW" w:bidi="zh-TW"/>
    </w:rPr>
  </w:style>
  <w:style w:type="paragraph" w:customStyle="1" w:styleId="79">
    <w:name w:val="qowt-stl-正文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0">
    <w:name w:val="qowt-font2"/>
    <w:qFormat/>
    <w:uiPriority w:val="0"/>
  </w:style>
  <w:style w:type="paragraph" w:customStyle="1" w:styleId="81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C21578-E33F-4453-B978-C42422FD8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HANDY</Company>
  <Pages>9</Pages>
  <Words>5760</Words>
  <Characters>6459</Characters>
  <Lines>226</Lines>
  <Paragraphs>63</Paragraphs>
  <TotalTime>5</TotalTime>
  <ScaleCrop>false</ScaleCrop>
  <LinksUpToDate>false</LinksUpToDate>
  <CharactersWithSpaces>6480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2022-12-19T09:11:00Z</dcterms:created>
  <dc:creator>Administrator</dc:creator>
  <cp:lastModifiedBy>尧</cp:lastModifiedBy>
  <cp:lastPrinted>2019-09-29T02:24:00Z</cp:lastPrinted>
  <dcterms:modified xsi:type="dcterms:W3CDTF">2026-10-23T00:41:37Z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DD95BA48730E40199FDFDDDDA2BA65F6</vt:lpwstr>
  </property>
  <property fmtid="{D5CDD505-2E9C-101B-9397-08002B2CF9AE}" pid="4" name="KSOTemplateDocerSaveRecord">
    <vt:lpwstr>eyJoZGlkIjoiNjk3YzhkMDIyYTVhMTE4NWU0MzExM2UxY2QxOTE2ZmUiLCJ1c2VySWQiOiIzMTQ0NjA5NjcifQ==</vt:lpwstr>
  </property>
</Properties>
</file>