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EBCEA">
      <w:pPr>
        <w:pStyle w:val="20"/>
        <w:ind w:firstLine="0"/>
        <w:jc w:val="both"/>
        <w:rPr>
          <w:rFonts w:hint="eastAsia" w:ascii="仿宋" w:hAnsi="仿宋" w:eastAsia="仿宋"/>
          <w:b/>
          <w:sz w:val="28"/>
          <w:szCs w:val="28"/>
          <w:lang w:val="en-US" w:eastAsia="zh-CN"/>
        </w:rPr>
      </w:pPr>
    </w:p>
    <w:p w14:paraId="2310E8A1">
      <w:pPr>
        <w:pStyle w:val="20"/>
        <w:ind w:firstLine="0"/>
        <w:jc w:val="center"/>
        <w:rPr>
          <w:rFonts w:hint="default" w:ascii="仿宋" w:hAnsi="仿宋" w:eastAsia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参考参数</w:t>
      </w:r>
    </w:p>
    <w:tbl>
      <w:tblPr>
        <w:tblStyle w:val="15"/>
        <w:tblpPr w:leftFromText="180" w:rightFromText="180" w:vertAnchor="text" w:horzAnchor="page" w:tblpXSpec="center" w:tblpY="87"/>
        <w:tblOverlap w:val="never"/>
        <w:tblW w:w="10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1154"/>
        <w:gridCol w:w="7651"/>
        <w:gridCol w:w="450"/>
        <w:gridCol w:w="425"/>
      </w:tblGrid>
      <w:tr w14:paraId="69EFF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429" w:type="dxa"/>
          </w:tcPr>
          <w:p w14:paraId="09AA478B">
            <w:pPr>
              <w:pStyle w:val="20"/>
              <w:ind w:firstLine="0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154" w:type="dxa"/>
          </w:tcPr>
          <w:p w14:paraId="022FBE5F">
            <w:pPr>
              <w:pStyle w:val="20"/>
              <w:tabs>
                <w:tab w:val="left" w:pos="341"/>
              </w:tabs>
              <w:ind w:firstLine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7651" w:type="dxa"/>
            <w:vAlign w:val="center"/>
          </w:tcPr>
          <w:p w14:paraId="64C17372">
            <w:pPr>
              <w:pStyle w:val="20"/>
              <w:ind w:firstLine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采购需求</w:t>
            </w:r>
          </w:p>
        </w:tc>
        <w:tc>
          <w:tcPr>
            <w:tcW w:w="450" w:type="dxa"/>
          </w:tcPr>
          <w:p w14:paraId="492FBB06">
            <w:pPr>
              <w:pStyle w:val="20"/>
              <w:ind w:firstLine="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425" w:type="dxa"/>
          </w:tcPr>
          <w:p w14:paraId="3A7913AD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lang w:eastAsia="zh-CN"/>
              </w:rPr>
              <w:t>单位</w:t>
            </w:r>
          </w:p>
        </w:tc>
      </w:tr>
      <w:tr w14:paraId="501AF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1" w:hRule="atLeast"/>
          <w:jc w:val="center"/>
        </w:trPr>
        <w:tc>
          <w:tcPr>
            <w:tcW w:w="429" w:type="dxa"/>
            <w:vAlign w:val="center"/>
          </w:tcPr>
          <w:p w14:paraId="13C1CB49">
            <w:pPr>
              <w:pStyle w:val="20"/>
              <w:tabs>
                <w:tab w:val="left" w:pos="339"/>
              </w:tabs>
              <w:ind w:firstLine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1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0114356">
            <w:pPr>
              <w:pStyle w:val="20"/>
              <w:tabs>
                <w:tab w:val="left" w:pos="339"/>
              </w:tabs>
              <w:ind w:firstLine="0" w:firstLineChars="0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全功能护理训练模拟人(多功能综合护理操作模拟人)</w:t>
            </w:r>
          </w:p>
        </w:tc>
        <w:tc>
          <w:tcPr>
            <w:tcW w:w="7651" w:type="dxa"/>
          </w:tcPr>
          <w:p w14:paraId="4BC55D47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模拟人可取仰卧屈膝位，两腿外展后可独立支撑，左右上臂、小腿可旋转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69DB586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包括不限于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进行以下模拟护理：</w:t>
            </w:r>
          </w:p>
          <w:p w14:paraId="5C36258D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洗头、洗脸</w:t>
            </w:r>
          </w:p>
          <w:p w14:paraId="0AF8FA4D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眼耳清洗、滴药</w:t>
            </w:r>
          </w:p>
          <w:p w14:paraId="70E8D46B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口腔护理、假牙护理</w:t>
            </w:r>
          </w:p>
          <w:p w14:paraId="1AA60745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口鼻气管插管</w:t>
            </w:r>
          </w:p>
          <w:p w14:paraId="7571AA65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气管切开护理</w:t>
            </w:r>
          </w:p>
          <w:p w14:paraId="791753F7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吸痰法</w:t>
            </w:r>
          </w:p>
          <w:p w14:paraId="5427801F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氧气吸入法</w:t>
            </w:r>
          </w:p>
          <w:p w14:paraId="1CF23DC2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口鼻饲食法</w:t>
            </w:r>
          </w:p>
          <w:p w14:paraId="7D44AF04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洗胃法</w:t>
            </w:r>
          </w:p>
          <w:p w14:paraId="1CDA928A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手臂静脉穿刺、注射、输液（血）</w:t>
            </w:r>
          </w:p>
          <w:p w14:paraId="050A5D02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三角肌皮下注射</w:t>
            </w:r>
          </w:p>
          <w:p w14:paraId="79BDD8A8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股外侧肌注射</w:t>
            </w:r>
          </w:p>
          <w:p w14:paraId="784D90B9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骨外侧肌注射</w:t>
            </w:r>
          </w:p>
          <w:p w14:paraId="784F2E8E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胸腔、腹腔、肝脏、骨髓、腰椎穿刺</w:t>
            </w:r>
          </w:p>
          <w:p w14:paraId="0E448843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灌肠法</w:t>
            </w:r>
          </w:p>
          <w:p w14:paraId="11AC5F4B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女性导尿术</w:t>
            </w:r>
          </w:p>
          <w:p w14:paraId="5852EC59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男性导尿术</w:t>
            </w:r>
          </w:p>
          <w:p w14:paraId="0549219F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女性膀胱冲洗</w:t>
            </w:r>
          </w:p>
          <w:p w14:paraId="29B54374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男性膀胱冲洗</w:t>
            </w:r>
          </w:p>
          <w:p w14:paraId="41694A19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造瘘引流术</w:t>
            </w:r>
          </w:p>
          <w:p w14:paraId="64BBB6E9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臀部肌肉注射</w:t>
            </w:r>
          </w:p>
          <w:p w14:paraId="22482C7F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腹腔解剖重要器官结构</w:t>
            </w:r>
          </w:p>
          <w:p w14:paraId="0BDEB390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整理护理：擦浴、穿换衣裤</w:t>
            </w:r>
          </w:p>
          <w:p w14:paraId="64D6DE1E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四肢关节左右弯曲、旋转、上下活动</w:t>
            </w:r>
          </w:p>
          <w:p w14:paraId="7BD80466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创伤评估与护理、消毒、换药、止血、包扎</w:t>
            </w:r>
          </w:p>
          <w:p w14:paraId="1672E701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• 胸壁切开缝合伤口</w:t>
            </w:r>
          </w:p>
          <w:p w14:paraId="46719FBB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• 大腿外伤切开缝合伤口</w:t>
            </w:r>
          </w:p>
          <w:p w14:paraId="54577DBA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• 大腿皮肤裂伤</w:t>
            </w:r>
          </w:p>
          <w:p w14:paraId="5D89C55A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• 大腿感染性溃疡</w:t>
            </w:r>
          </w:p>
          <w:p w14:paraId="25A8CE67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• 足坏疽、第1、2、3足趾和足跟压疮</w:t>
            </w:r>
          </w:p>
          <w:p w14:paraId="29FB6F4D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• 上臂截肢伤口</w:t>
            </w:r>
          </w:p>
          <w:p w14:paraId="47E56C94">
            <w:pPr>
              <w:spacing w:line="240" w:lineRule="auto"/>
              <w:jc w:val="left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• 小腿截肢伤口</w:t>
            </w:r>
          </w:p>
        </w:tc>
        <w:tc>
          <w:tcPr>
            <w:tcW w:w="450" w:type="dxa"/>
            <w:vAlign w:val="center"/>
          </w:tcPr>
          <w:p w14:paraId="0815F362">
            <w:pPr>
              <w:pStyle w:val="20"/>
              <w:ind w:firstLine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25" w:type="dxa"/>
            <w:vAlign w:val="center"/>
          </w:tcPr>
          <w:p w14:paraId="09501578">
            <w:pPr>
              <w:pStyle w:val="20"/>
              <w:ind w:firstLine="0"/>
              <w:jc w:val="center"/>
              <w:rPr>
                <w:rFonts w:hint="eastAsia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个</w:t>
            </w:r>
          </w:p>
        </w:tc>
      </w:tr>
      <w:tr w14:paraId="09D71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atLeast"/>
          <w:jc w:val="center"/>
        </w:trPr>
        <w:tc>
          <w:tcPr>
            <w:tcW w:w="429" w:type="dxa"/>
            <w:vAlign w:val="center"/>
          </w:tcPr>
          <w:p w14:paraId="4B3EC3EB">
            <w:pPr>
              <w:pStyle w:val="20"/>
              <w:ind w:firstLine="0"/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54" w:type="dxa"/>
          </w:tcPr>
          <w:p w14:paraId="1673E7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压力性损伤护理模型(压疮仿真模型)</w:t>
            </w:r>
          </w:p>
        </w:tc>
        <w:tc>
          <w:tcPr>
            <w:tcW w:w="7651" w:type="dxa"/>
          </w:tcPr>
          <w:p w14:paraId="6D73F3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1、  由压力溃疡所形成的四个阶段的褥疮均有显示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6721C7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2、  显示褥疮类型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包括但不限于</w:t>
            </w: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：窦、瘘、腐痂、褥疮感染、骨头暴露、焦痂、缝合的伤口、疱疹和念珠菌感染。</w:t>
            </w:r>
          </w:p>
          <w:p w14:paraId="349C13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3、  学员可以在其上练习伤口的清洗，对伤口进行分类，并且对伤口发展的各个阶段进行评估，同时也可以对伤口的长度、深度进行测量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450" w:type="dxa"/>
            <w:vAlign w:val="center"/>
          </w:tcPr>
          <w:p w14:paraId="222C0568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  <w:p w14:paraId="45CF3A86">
            <w:pPr>
              <w:bidi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25" w:type="dxa"/>
            <w:vAlign w:val="center"/>
          </w:tcPr>
          <w:p w14:paraId="30032098">
            <w:pPr>
              <w:pStyle w:val="20"/>
              <w:tabs>
                <w:tab w:val="left" w:pos="227"/>
              </w:tabs>
              <w:ind w:firstLine="0"/>
              <w:jc w:val="left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  <w:p w14:paraId="5287849F">
            <w:pPr>
              <w:pStyle w:val="20"/>
              <w:tabs>
                <w:tab w:val="left" w:pos="227"/>
              </w:tabs>
              <w:ind w:firstLine="0"/>
              <w:jc w:val="left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个</w:t>
            </w:r>
          </w:p>
        </w:tc>
      </w:tr>
      <w:tr w14:paraId="33328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  <w:jc w:val="center"/>
        </w:trPr>
        <w:tc>
          <w:tcPr>
            <w:tcW w:w="429" w:type="dxa"/>
            <w:vAlign w:val="center"/>
          </w:tcPr>
          <w:p w14:paraId="72D52445">
            <w:pPr>
              <w:pStyle w:val="20"/>
              <w:ind w:firstLine="0"/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3825CA5">
            <w:pPr>
              <w:pStyle w:val="20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透明男导尿模型</w:t>
            </w:r>
          </w:p>
        </w:tc>
        <w:tc>
          <w:tcPr>
            <w:tcW w:w="7651" w:type="dxa"/>
          </w:tcPr>
          <w:p w14:paraId="291EB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外部生殖器官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7F3C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2.可通过透明的耻骨观察骨盆和膀胱的相对位置，骨盆位置固定，可观察膀胱的位置和插入导管的角度。</w:t>
            </w:r>
          </w:p>
          <w:p w14:paraId="42F3D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3.插入导管的阻力和压力与真实人体相似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DF94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4.练习插入导管的各个步骤，可以外部观察到气囊导管膨胀和膨胀后导管的位置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955A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5.导管正确插入喉，尿液（水）才会流出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450" w:type="dxa"/>
            <w:vAlign w:val="center"/>
          </w:tcPr>
          <w:p w14:paraId="76F1B58A">
            <w:pPr>
              <w:pStyle w:val="20"/>
              <w:ind w:firstLine="0"/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25" w:type="dxa"/>
            <w:vAlign w:val="center"/>
          </w:tcPr>
          <w:p w14:paraId="77E76D18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个</w:t>
            </w:r>
          </w:p>
        </w:tc>
      </w:tr>
      <w:tr w14:paraId="6AEA1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29" w:type="dxa"/>
            <w:vAlign w:val="center"/>
          </w:tcPr>
          <w:p w14:paraId="25698905">
            <w:pPr>
              <w:pStyle w:val="20"/>
              <w:ind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54" w:type="dxa"/>
          </w:tcPr>
          <w:p w14:paraId="048B2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透明女导尿模型</w:t>
            </w:r>
          </w:p>
        </w:tc>
        <w:tc>
          <w:tcPr>
            <w:tcW w:w="7651" w:type="dxa"/>
          </w:tcPr>
          <w:p w14:paraId="00599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生殖器官，小阴唇可以分开，否则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无法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看到尿道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D847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2.可通过透明的耻骨观察骨盆和膀胱的相对位置，骨盆位置固定，可观察膀胱的位置和插入导管的角度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C8FE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3.插入导管的阻力和压力与真实人体相似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9B4C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4.练习插入导管的各个步骤，可以外部观察到气囊导管膨胀和膨胀后导管的位置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D364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5导管正确插入后，尿液（水）才会流出。</w:t>
            </w:r>
          </w:p>
        </w:tc>
        <w:tc>
          <w:tcPr>
            <w:tcW w:w="450" w:type="dxa"/>
            <w:vAlign w:val="center"/>
          </w:tcPr>
          <w:p w14:paraId="3E4BE24B">
            <w:pPr>
              <w:pStyle w:val="20"/>
              <w:ind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 w14:paraId="6377E0BA">
            <w:pPr>
              <w:bidi w:val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25" w:type="dxa"/>
            <w:vAlign w:val="center"/>
          </w:tcPr>
          <w:p w14:paraId="105FB18F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</w:p>
          <w:p w14:paraId="1098A1C6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个</w:t>
            </w:r>
          </w:p>
        </w:tc>
      </w:tr>
      <w:tr w14:paraId="6A980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429" w:type="dxa"/>
            <w:vAlign w:val="center"/>
          </w:tcPr>
          <w:p w14:paraId="24323F23">
            <w:pPr>
              <w:pStyle w:val="20"/>
              <w:ind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154" w:type="dxa"/>
          </w:tcPr>
          <w:p w14:paraId="5DFAA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9F9A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3E60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0433E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多功能透明洗胃模型</w:t>
            </w:r>
          </w:p>
        </w:tc>
        <w:tc>
          <w:tcPr>
            <w:tcW w:w="7651" w:type="dxa"/>
          </w:tcPr>
          <w:p w14:paraId="199C1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模型为成年男性上半身，可实现洗胃时的多种体位：仰卧位、左侧卧位、坐位。</w:t>
            </w:r>
          </w:p>
          <w:p w14:paraId="64773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解剖结构精确，包括牙、舌、悬雍垂、气管、支气管、左右肺脏、食管、胃、膈、胆囊、胰腺、脾、十二指肠、结肠等结构。</w:t>
            </w:r>
          </w:p>
          <w:p w14:paraId="378C3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胸腹部外皮为透明外壳，便于观察内部解剖结构以及操作全过程。</w:t>
            </w:r>
          </w:p>
          <w:p w14:paraId="71B37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真实大小的透明胃，可在操作时观察胃管进出胃腔的全过程，并能容纳≥300ml的液体。</w:t>
            </w:r>
          </w:p>
          <w:p w14:paraId="77E5D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模型使用完毕，消化道内残存液体可方便的从专用管道排出。</w:t>
            </w:r>
          </w:p>
          <w:p w14:paraId="67E96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可实现功能：</w:t>
            </w:r>
          </w:p>
          <w:p w14:paraId="1BD48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洗胃术：经口、鼻洗胃器洗胃法，电动吸引洗胃法，胃管洗胃法，洗胃机洗胃法。</w:t>
            </w:r>
          </w:p>
          <w:p w14:paraId="7D528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胃肠减压术、胃液采集术、十二指肠引流术、双气囊三腔管压迫术。</w:t>
            </w:r>
          </w:p>
          <w:p w14:paraId="46A60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鼻饲术、氧气吸入、口腔护理、经口经鼻吸痰术、气管切开术术后护理等多项护理操作。</w:t>
            </w:r>
          </w:p>
          <w:p w14:paraId="773D3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示教瞳孔：瞳孔缩小与瞳孔散大直观对比。</w:t>
            </w:r>
          </w:p>
          <w:p w14:paraId="75282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带有灯光警示系统，提示胆囊的不同解剖部位。</w:t>
            </w:r>
          </w:p>
          <w:p w14:paraId="6A62F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0" w:type="dxa"/>
            <w:vAlign w:val="center"/>
          </w:tcPr>
          <w:p w14:paraId="18B3F6ED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25" w:type="dxa"/>
            <w:vAlign w:val="center"/>
          </w:tcPr>
          <w:p w14:paraId="3EC94904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个</w:t>
            </w:r>
          </w:p>
        </w:tc>
      </w:tr>
      <w:tr w14:paraId="3066D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29" w:type="dxa"/>
            <w:vAlign w:val="center"/>
          </w:tcPr>
          <w:p w14:paraId="61EDC6F2">
            <w:pPr>
              <w:pStyle w:val="20"/>
              <w:ind w:firstLine="0"/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154" w:type="dxa"/>
          </w:tcPr>
          <w:p w14:paraId="25E33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1C9F8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48CAA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1BC28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5598B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2C1E6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6AB69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385A0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6603A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529C0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343E8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2D51A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162FE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5477E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26675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19D53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11986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575B1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49D9E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01EDD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2FC4B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65243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高级创伤模型</w:t>
            </w:r>
          </w:p>
        </w:tc>
        <w:tc>
          <w:tcPr>
            <w:tcW w:w="7651" w:type="dxa"/>
          </w:tcPr>
          <w:p w14:paraId="492E1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模拟人可取仰卧屈膝位，两腿外展后可独立支撑，左右上臂、小腿可旋转</w:t>
            </w:r>
          </w:p>
          <w:p w14:paraId="52A00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骨组织暴露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6662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模拟人身体各部位的创伤，烧伤皮肤更换；</w:t>
            </w:r>
          </w:p>
          <w:p w14:paraId="063DA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模拟创伤部位的清洗、消毒、止血、包扎、固定、搬运；</w:t>
            </w:r>
          </w:p>
          <w:p w14:paraId="5B12F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模拟人身体各个部位的开放性骨折、断裂处理；</w:t>
            </w:r>
          </w:p>
          <w:p w14:paraId="02586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•洗头、洗脸</w:t>
            </w:r>
          </w:p>
          <w:p w14:paraId="6EE84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•眼耳清洗、滴药</w:t>
            </w:r>
          </w:p>
          <w:p w14:paraId="48045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•口腔护理，假牙护理</w:t>
            </w:r>
          </w:p>
          <w:p w14:paraId="0FCAA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口鼻气管插管</w:t>
            </w:r>
          </w:p>
          <w:p w14:paraId="32504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气管切开护理</w:t>
            </w:r>
          </w:p>
          <w:p w14:paraId="521F2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吸痰法</w:t>
            </w:r>
          </w:p>
          <w:p w14:paraId="06380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氧气吸入法</w:t>
            </w:r>
          </w:p>
          <w:p w14:paraId="5C6A9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口鼻饲食法</w:t>
            </w:r>
          </w:p>
          <w:p w14:paraId="7D4FC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洗胃法</w:t>
            </w:r>
          </w:p>
          <w:p w14:paraId="297C6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胸腔解剖重要器官结构</w:t>
            </w:r>
          </w:p>
          <w:p w14:paraId="340D9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手臂静脉穿刺、注射、输液（血）</w:t>
            </w:r>
          </w:p>
          <w:p w14:paraId="15D1B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三角肌皮下注射</w:t>
            </w:r>
          </w:p>
          <w:p w14:paraId="1E24F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股外侧肌注射</w:t>
            </w:r>
          </w:p>
          <w:p w14:paraId="19E76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胸腔、腹腔、肝脏、骨髓、腰椎穿刺</w:t>
            </w:r>
          </w:p>
          <w:p w14:paraId="4AF3C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灌肠法</w:t>
            </w:r>
          </w:p>
          <w:p w14:paraId="4EE1E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女性导尿术</w:t>
            </w:r>
          </w:p>
          <w:p w14:paraId="191E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男性导尿术</w:t>
            </w:r>
          </w:p>
          <w:p w14:paraId="3B3D0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女性膀胱冲洗</w:t>
            </w:r>
          </w:p>
          <w:p w14:paraId="6F337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男性膀胱冲洗</w:t>
            </w:r>
          </w:p>
          <w:p w14:paraId="2C542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造瘘引流术</w:t>
            </w:r>
          </w:p>
          <w:p w14:paraId="2E706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臀部肌肉注射</w:t>
            </w:r>
          </w:p>
          <w:p w14:paraId="68083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整理护理：擦浴、穿换衣裤</w:t>
            </w:r>
          </w:p>
          <w:p w14:paraId="15521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创伤评估模块主要配置：</w:t>
            </w:r>
          </w:p>
          <w:p w14:paraId="13C15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面部烧伤Ⅰ、Ⅱ、Ⅲ度</w:t>
            </w:r>
          </w:p>
          <w:p w14:paraId="41DC4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前额撕裂伤口</w:t>
            </w:r>
          </w:p>
          <w:p w14:paraId="10661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颌骨创伤</w:t>
            </w:r>
          </w:p>
          <w:p w14:paraId="430C7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锁骨开放性骨折与胸壁挫伤</w:t>
            </w:r>
          </w:p>
          <w:p w14:paraId="48986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腹部创伤伴有小肠突露</w:t>
            </w:r>
          </w:p>
          <w:p w14:paraId="14E7B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右上臂肱骨开放性骨折</w:t>
            </w:r>
          </w:p>
          <w:p w14:paraId="17088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右手开放性骨折、软组织撕裂伤口</w:t>
            </w:r>
          </w:p>
          <w:p w14:paraId="7DB24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骨组织暴露</w:t>
            </w:r>
          </w:p>
          <w:p w14:paraId="03C70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右手掌抢弹伤口</w:t>
            </w:r>
          </w:p>
          <w:p w14:paraId="7CF5A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右大腿股骨开放性骨折</w:t>
            </w:r>
          </w:p>
          <w:p w14:paraId="67BC0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左大腿复合型股骨骨折</w:t>
            </w:r>
          </w:p>
          <w:p w14:paraId="53D43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右大腿金属异物刺激</w:t>
            </w:r>
          </w:p>
          <w:p w14:paraId="1CE6B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右小腿胫骨开放性骨折</w:t>
            </w:r>
          </w:p>
          <w:p w14:paraId="30E61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右足开放性骨折右小趾截断创伤</w:t>
            </w:r>
          </w:p>
          <w:p w14:paraId="1AA86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左前臂烧伤Ⅰ、Ⅱ、Ⅲ度</w:t>
            </w:r>
          </w:p>
          <w:p w14:paraId="58CE5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左大腿截断创伤</w:t>
            </w:r>
          </w:p>
          <w:p w14:paraId="10416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左小腿胫骨闭合性骨折以及踝关节和足挫伤</w:t>
            </w:r>
          </w:p>
          <w:p w14:paraId="2467B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0" w:type="dxa"/>
            <w:vAlign w:val="center"/>
          </w:tcPr>
          <w:p w14:paraId="55BCCBDC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25" w:type="dxa"/>
            <w:vAlign w:val="center"/>
          </w:tcPr>
          <w:p w14:paraId="5D480D14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个</w:t>
            </w:r>
          </w:p>
        </w:tc>
      </w:tr>
      <w:tr w14:paraId="6341D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29" w:type="dxa"/>
            <w:vAlign w:val="center"/>
          </w:tcPr>
          <w:p w14:paraId="1D749037">
            <w:pPr>
              <w:pStyle w:val="20"/>
              <w:ind w:firstLine="0"/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154" w:type="dxa"/>
          </w:tcPr>
          <w:p w14:paraId="27559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4DE9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B33B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408C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CCF1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05B1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1701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D249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A914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EC2A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5C0B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0E6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6F8F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CC85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94EB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5C57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83E9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9A3D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4FD4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3B1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E5A2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心肺复苏模型人</w:t>
            </w:r>
          </w:p>
        </w:tc>
        <w:tc>
          <w:tcPr>
            <w:tcW w:w="7651" w:type="dxa"/>
          </w:tcPr>
          <w:p w14:paraId="57B37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模拟人解剖特征明显。</w:t>
            </w:r>
          </w:p>
          <w:p w14:paraId="13D6A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模拟生命体征：</w:t>
            </w:r>
          </w:p>
          <w:p w14:paraId="55A5F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初始状态时，模拟人瞳孔散大，颈动脉无搏动。</w:t>
            </w:r>
          </w:p>
          <w:p w14:paraId="3FF4E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按压过程中，模拟人颈动脉被动搏动，搏动频率与按压频率一致。</w:t>
            </w:r>
          </w:p>
          <w:p w14:paraId="79F23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抢救成功后，模拟人瞳孔恢复正常，颈动脉自主搏动。</w:t>
            </w:r>
          </w:p>
          <w:p w14:paraId="78D2D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瞳孔缩放和颈动脉搏动由开关可开启和关闭。</w:t>
            </w:r>
          </w:p>
          <w:p w14:paraId="6128C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可进行人工呼吸和心外按压。可进行标准气道开放，气道指示灯变亮。</w:t>
            </w:r>
          </w:p>
          <w:p w14:paraId="3EF3D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三种操作方式：可进行CPR训练、模式考核和实战考核。</w:t>
            </w:r>
          </w:p>
          <w:p w14:paraId="14E36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方式一：CPR训练，可进行按压和吹气训练。</w:t>
            </w:r>
          </w:p>
          <w:p w14:paraId="62CF7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方式二：模式考核，在设定的时间内，根据2020国际心肺复苏标准，正确按压和吹气数30：2的比例，完成5个循环操作。</w:t>
            </w:r>
          </w:p>
          <w:p w14:paraId="65341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方式三：实战考核，老师可自行设定操作时间范围、操作标准、循环次数、操作频率、按压和吹气的比例。</w:t>
            </w:r>
          </w:p>
          <w:p w14:paraId="7AC0D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控制器显示屏功能：</w:t>
            </w:r>
          </w:p>
          <w:p w14:paraId="7D609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电子监测：电子指示灯显示监测气道开放和按压部位。人工呼吸和胸外按压的正确次数计数和错误次数计数。</w:t>
            </w:r>
          </w:p>
          <w:p w14:paraId="5D823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语音提示：训练和考核中全程中文语音提示，可开启和关闭语音，调节音量。</w:t>
            </w:r>
          </w:p>
          <w:p w14:paraId="6E810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条形码显示吹气量：正确的吹气量为500~600ml-1000ml：</w:t>
            </w:r>
          </w:p>
          <w:p w14:paraId="75226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吹气量过少时，条形码为黄色。</w:t>
            </w:r>
          </w:p>
          <w:p w14:paraId="6FD6E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吹气量合适时，条形码为绿色。</w:t>
            </w:r>
          </w:p>
          <w:p w14:paraId="671C3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吹气量过大时，条形码为红色。</w:t>
            </w:r>
          </w:p>
          <w:p w14:paraId="7B2D3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吹入的潮气量过快或超大，造成气体进入胃部指示灯显示；数码计数显示；错误语言提示；</w:t>
            </w:r>
          </w:p>
          <w:p w14:paraId="05799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条形码显示按压深度，正确的按压深度5-6cm：</w:t>
            </w:r>
          </w:p>
          <w:p w14:paraId="037D5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按压深度过少时，条形码为黄色。</w:t>
            </w:r>
          </w:p>
          <w:p w14:paraId="09CAF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按压深度合适时，条形码为绿色。</w:t>
            </w:r>
          </w:p>
          <w:p w14:paraId="15C0A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• 按压深度过大时，条形码为红色。</w:t>
            </w:r>
          </w:p>
          <w:p w14:paraId="6EEDD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可自行设定操作时间，以秒为单位。</w:t>
            </w:r>
          </w:p>
          <w:p w14:paraId="1FDD4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操作频率：2020标准为至少100次/分，也可自行设定数值。</w:t>
            </w:r>
          </w:p>
          <w:p w14:paraId="68EDB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电源状态：采用220V电源，经过稳压器稳压后输出电源12V。（可选加装锂电池，适用于无外接电源的情况下直接使用。）</w:t>
            </w:r>
          </w:p>
          <w:p w14:paraId="3998A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打印机功能：</w:t>
            </w:r>
          </w:p>
          <w:p w14:paraId="5B159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操作结束后打印操作过程。</w:t>
            </w:r>
          </w:p>
          <w:p w14:paraId="7DC5C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成绩单内容涵盖操作方式、意识判断、急救呼吸、脉搏检查、检查呼吸、清除异物、操作频率、按压与吹气比例、循环次数、每个循环操作中按压和吹气的次数、按压正确/错误次数、按压错误的原因和次数、吹气正确/错误的原因和次数、吹气错误的原因、设定时间、操作时间和考核评定。</w:t>
            </w:r>
          </w:p>
          <w:p w14:paraId="7C2DC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面皮肤、颈皮肤、胸皮肤、头发，采用PVC热塑弹性体混合胶材料，由不锈钢模具、经注塑机高温注压而成，具有解剖标志准确、消毒清洗不变形，拆装更换方便等特点。</w:t>
            </w:r>
          </w:p>
          <w:p w14:paraId="4B928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配置：</w:t>
            </w:r>
          </w:p>
          <w:p w14:paraId="70DFC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高级复苏全身人体模型一具；</w:t>
            </w:r>
          </w:p>
          <w:p w14:paraId="0AC5D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高级显示控制器一台；</w:t>
            </w:r>
          </w:p>
          <w:p w14:paraId="3B91F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豪华手拉推式人体硬塑箱一只；</w:t>
            </w:r>
          </w:p>
          <w:p w14:paraId="713D3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复苏操作垫一条；</w:t>
            </w:r>
          </w:p>
          <w:p w14:paraId="060FE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电源适配器一根；</w:t>
            </w:r>
          </w:p>
          <w:p w14:paraId="67B13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数据线一根；</w:t>
            </w:r>
          </w:p>
          <w:p w14:paraId="554CE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屏障面膜(50张/盒)一盒 ；</w:t>
            </w:r>
          </w:p>
          <w:p w14:paraId="31B7B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可换肺囊装置四套；</w:t>
            </w:r>
          </w:p>
          <w:p w14:paraId="11AD7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可换面皮一只；</w:t>
            </w:r>
          </w:p>
          <w:p w14:paraId="1E97B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热敏打印纸二卷；</w:t>
            </w:r>
          </w:p>
          <w:p w14:paraId="6148A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急救手册 1 本；</w:t>
            </w:r>
          </w:p>
          <w:p w14:paraId="6B182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使用说明书一本；</w:t>
            </w:r>
          </w:p>
          <w:p w14:paraId="35410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保修卡、合格证；</w:t>
            </w:r>
          </w:p>
        </w:tc>
        <w:tc>
          <w:tcPr>
            <w:tcW w:w="450" w:type="dxa"/>
            <w:vAlign w:val="center"/>
          </w:tcPr>
          <w:p w14:paraId="5E61AB15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25" w:type="dxa"/>
            <w:vAlign w:val="center"/>
          </w:tcPr>
          <w:p w14:paraId="61A3CFD5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个</w:t>
            </w:r>
          </w:p>
        </w:tc>
      </w:tr>
      <w:tr w14:paraId="74EA4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29" w:type="dxa"/>
            <w:vAlign w:val="center"/>
          </w:tcPr>
          <w:p w14:paraId="0F23CB99">
            <w:pPr>
              <w:pStyle w:val="20"/>
              <w:ind w:firstLine="0"/>
              <w:jc w:val="center"/>
              <w:rPr>
                <w:rFonts w:hint="default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154" w:type="dxa"/>
          </w:tcPr>
          <w:p w14:paraId="2CDBA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1A03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D551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B53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76ED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B66A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C1E1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8B92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8DFC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707C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7CF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7DA9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B818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CFCD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F98E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AC44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116A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B3D0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24B37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心电监护仪</w:t>
            </w:r>
          </w:p>
        </w:tc>
        <w:tc>
          <w:tcPr>
            <w:tcW w:w="7651" w:type="dxa"/>
          </w:tcPr>
          <w:p w14:paraId="0EBE9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、彩色液晶触摸屏≥12.1英寸，屏幕采用最新电容屏非电阻屏，分辨率≥1280×800像素或更高，≥6通道波形显示，主机集成内置≥2槽位插件槽，可支持IBP，CO2，AG任意参数模块的即插即用快速扩展临床应用，整机无风扇设计，配置提手,方便移动，有创压监测，动脉压监测时支持同步监测PPV，适用于成人，小儿和新生儿。</w:t>
            </w:r>
          </w:p>
          <w:p w14:paraId="13C18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1.2、显示屏可支持亮度自动调节功能，屏幕倾斜10~15度设计，符合人机工程学，便于临床团队观察和操作。</w:t>
            </w:r>
          </w:p>
          <w:p w14:paraId="1C998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1.3、可支持遥控器或其他方式无线远程操作监护仪。</w:t>
            </w:r>
          </w:p>
          <w:p w14:paraId="794C5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1.4、内置高性能锂电池，工作时间≥6小时，插槽式设计，无需螺丝刀工具支持快速拆卸和安装。</w:t>
            </w:r>
          </w:p>
          <w:p w14:paraId="6C38E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1.5、安全规格：ECG, TEMP, IBP, SpO2 , NIBP监测参数抗电击程度为防除颤CF型。</w:t>
            </w:r>
          </w:p>
          <w:p w14:paraId="1E6F2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1.6、监护仪设计使用年限≥10年。</w:t>
            </w:r>
          </w:p>
          <w:p w14:paraId="39728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1.7、监护仪主机工作大气压环境范围：57.0~107.4kPa，监护仪主机工作温度环境范围：0~40°C，监护仪主机工作湿度环境范围；15~95%。</w:t>
            </w:r>
          </w:p>
          <w:p w14:paraId="1DDDC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1.8、防水等级≥IPX2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3455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2：监测参数：</w:t>
            </w:r>
          </w:p>
          <w:p w14:paraId="6CE1C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2.1、配置3/5导心电，呼吸，无创血压，血氧饱和度，脉搏和双通道体温参数监测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5925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2.2、心电监护支持心率，ST段测量，心律失常分析，QT/QTc连续实时测量和对应报警功能，心电算法通过AHA/MIT-BIH数据库验证，心电波形扫描速度支持6.25mm/s、12.5 mm/s、25 mm/s和50 mm/s，提供窗口支持心脏下壁，侧壁和前壁对应多个ST片段的同屏实时显示，提供参考片段和实时片段的对比查看。</w:t>
            </w:r>
          </w:p>
          <w:p w14:paraId="7AA01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2.3、支持≥27种心律失常分析,包括房颤分析。</w:t>
            </w:r>
          </w:p>
          <w:p w14:paraId="725B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2.4、QT和QTc实时监测参数测量范围：200～800 ms。</w:t>
            </w:r>
          </w:p>
          <w:p w14:paraId="3ED4D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2.5、支持升级提供过去24小时心电概览报告查看与打印，包括心率统计结果，心律失常统计结果，ST统计和QT/QTc统计结果。</w:t>
            </w:r>
          </w:p>
          <w:p w14:paraId="4AADC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2.6、提供SpO2,PR和PI参数的实时监测，适用于成人，小儿和新生儿。</w:t>
            </w:r>
          </w:p>
          <w:p w14:paraId="7BB52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★2.7、支持指套式血氧探头≥IPX7防水等级。</w:t>
            </w:r>
          </w:p>
          <w:p w14:paraId="772A0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2.8、配置无创血压测量，适用于成人，小儿和新生儿，提供手动，自动，连续和序列、整点5种测量模式，并提供动态血压分析，可以直观地了解病人在24小时内的血压变化和分布情况，满足临床应用，无创血压成人测量范围：收缩压25~290mmHg，舒张压10~250mmHg，平均压15~260mmHg。</w:t>
            </w:r>
          </w:p>
          <w:p w14:paraId="59157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2.9、提供辅助静脉穿刺功能。</w:t>
            </w:r>
          </w:p>
          <w:p w14:paraId="3E49D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2.10、提供双通道体温和温差参数的监测, 并可根据需要更改体温通道标名。</w:t>
            </w:r>
          </w:p>
          <w:p w14:paraId="13952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2.11、心电波形基线恢复时间＜5秒，呼吸波形、无创血压波形、血氧饱和度波形除颤恢复时间≤15秒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402C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3：系统功能：</w:t>
            </w:r>
          </w:p>
          <w:p w14:paraId="49133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3.1、支持所有监测参数报警限一键自动设置功能，满足医护团队快速管理患者报警需求，产品用户手册提供报警限自动设置规则。</w:t>
            </w:r>
          </w:p>
          <w:p w14:paraId="067A1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3.2、支持肾功能计算功能。</w:t>
            </w:r>
          </w:p>
          <w:p w14:paraId="245A2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3.3、具有图形化技术报警指示功能，帮助医护团队快速识别报警来源。</w:t>
            </w:r>
          </w:p>
          <w:p w14:paraId="204B2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3.4、支持≥120小时趋势图和趋势表回顾，支持选择不同趋势组回顾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7387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3.5、≥1000条事件回顾。每条报警事件至少能够存储32秒三道相关波形，以及报警触发时所有测量参数值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1A68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3.6、≥1000组NIBP测量结果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1485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3.7、≥120小时（分辨率1分钟）ST模板存储与回顾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839A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3.8、支持48小时全息波形的存储与回顾功能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15F3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3.9、支持监护仪历史病人数据的存储和回顾，并支持通过USB接口将历史病人数据导出到U盘。</w:t>
            </w:r>
          </w:p>
          <w:p w14:paraId="5A67A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3.10、支持RJ45接口进行有线网络通信，和除颤监护仪一起联网通信到中心监护系统。</w:t>
            </w:r>
          </w:p>
          <w:p w14:paraId="631CE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3.11、支持监护仪进入夜间模式，隐私模式，演示模式和待机模式。</w:t>
            </w:r>
          </w:p>
          <w:p w14:paraId="6A9DD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★3.12、呼吸氧合界面可显示呼吸暂停、心动过缓、低血氧饱和度事件提示，支持房颤概览显示内容包括但不限于：房颤心率分布、每小时的房颤负荷、生命体征参数趋势图、心搏标志开关。</w:t>
            </w:r>
          </w:p>
          <w:p w14:paraId="6C6F0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3.13、提供心肌缺血评估工具，可以快速查看ST值的变化。</w:t>
            </w:r>
          </w:p>
          <w:p w14:paraId="50D55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3.14、提供计时器功能，界面区提供设置≥4个计时器，每个计时器支持独立设置和计时功能，计时方向包括正计时和倒计时两种选择。</w:t>
            </w:r>
          </w:p>
          <w:p w14:paraId="5C931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★3.15、心电支持≥3个分析导联实时动态同步分析，并非多个导联波形同屏显示及12导联静息分析。</w:t>
            </w:r>
          </w:p>
          <w:p w14:paraId="543AD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3.16、支持格拉斯哥昏迷评分（GCS）功能。</w:t>
            </w:r>
          </w:p>
          <w:p w14:paraId="5B0CC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3.17、动态趋势界面可支持统计1-24小时心律失常报警、参数超限报警信息，并对超限报警区间的波形进行高亮显示，帮助医护人员快速识别异常趋势信息。</w:t>
            </w:r>
          </w:p>
          <w:p w14:paraId="7D1C2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3.18、信息互连：支持有线和无线（内置WiFi模块）方式直接与同品牌中央监护系统互联，把监测信息参数和波形实时显示到中央监护系统上，满足科室信息化的需求。</w:t>
            </w:r>
          </w:p>
          <w:p w14:paraId="7297D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3.19、配置要求：</w:t>
            </w:r>
          </w:p>
          <w:p w14:paraId="5B82B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主机1台。</w:t>
            </w:r>
          </w:p>
          <w:p w14:paraId="56FFE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三芯电源线1根。</w:t>
            </w:r>
          </w:p>
          <w:p w14:paraId="32779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配备3／5导除颤型分体式主电缆组件1根。</w:t>
            </w:r>
          </w:p>
          <w:p w14:paraId="72EAE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配备5导分体式导联线组件AHA按扣式1根。</w:t>
            </w:r>
          </w:p>
          <w:p w14:paraId="65809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配备7针血氧主电缆1根。</w:t>
            </w:r>
          </w:p>
          <w:p w14:paraId="7E016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成人指套式血氧探头1根。</w:t>
            </w:r>
          </w:p>
          <w:p w14:paraId="43285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无创血压导气管1根。</w:t>
            </w:r>
          </w:p>
          <w:p w14:paraId="54571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成人血压袖套1个。</w:t>
            </w:r>
          </w:p>
        </w:tc>
        <w:tc>
          <w:tcPr>
            <w:tcW w:w="450" w:type="dxa"/>
            <w:vAlign w:val="center"/>
          </w:tcPr>
          <w:p w14:paraId="7839F842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25" w:type="dxa"/>
            <w:vAlign w:val="center"/>
          </w:tcPr>
          <w:p w14:paraId="4615C77C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台</w:t>
            </w:r>
          </w:p>
        </w:tc>
      </w:tr>
      <w:tr w14:paraId="22369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29" w:type="dxa"/>
            <w:vAlign w:val="center"/>
          </w:tcPr>
          <w:p w14:paraId="61FAD425">
            <w:pPr>
              <w:pStyle w:val="20"/>
              <w:ind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54" w:type="dxa"/>
          </w:tcPr>
          <w:p w14:paraId="6B9CB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72658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4F6AA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35C8B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电子血压仪</w:t>
            </w:r>
          </w:p>
        </w:tc>
        <w:tc>
          <w:tcPr>
            <w:tcW w:w="7651" w:type="dxa"/>
          </w:tcPr>
          <w:p w14:paraId="77C96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显示方式:数字式显示方式</w:t>
            </w:r>
          </w:p>
          <w:p w14:paraId="07652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测量方式:示波测定法</w:t>
            </w:r>
          </w:p>
          <w:p w14:paraId="02F1F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脉搏数:40次/分-180次/分</w:t>
            </w:r>
          </w:p>
          <w:p w14:paraId="5FA8F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压力:0mmHg~299mmHg (OkPa~39.9kPa)</w:t>
            </w:r>
          </w:p>
          <w:p w14:paraId="5618D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测量范围:压力:±3mmHg(±0.4kPa)脉搏数:精度为土5%</w:t>
            </w:r>
          </w:p>
          <w:p w14:paraId="5DBBD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测量精度:压力:±3mmHg(±0.4kPa)脉搏数:精度为土5%</w:t>
            </w:r>
          </w:p>
          <w:p w14:paraId="60579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压力检测:压力传感器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或更优</w:t>
            </w:r>
          </w:p>
          <w:p w14:paraId="61B97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电源:5号干电池4节(DC6V)，电源适配器(100V-240V~ 50Hz-60Hz 0.12A-0.065A)</w:t>
            </w:r>
          </w:p>
          <w:p w14:paraId="5CE6F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适用臂围22-32cm，可存储≥30次测量值，，支持智能加压、袖带佩戴自检、误动作提示、不规则脉波提示和血压偏高提示</w:t>
            </w:r>
          </w:p>
        </w:tc>
        <w:tc>
          <w:tcPr>
            <w:tcW w:w="450" w:type="dxa"/>
            <w:vAlign w:val="center"/>
          </w:tcPr>
          <w:p w14:paraId="449AC3CC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5" w:type="dxa"/>
            <w:vAlign w:val="center"/>
          </w:tcPr>
          <w:p w14:paraId="24F16943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副</w:t>
            </w:r>
          </w:p>
        </w:tc>
      </w:tr>
      <w:tr w14:paraId="4120C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29" w:type="dxa"/>
            <w:vAlign w:val="center"/>
          </w:tcPr>
          <w:p w14:paraId="7389F560">
            <w:pPr>
              <w:pStyle w:val="20"/>
              <w:ind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A6299CE">
            <w:pPr>
              <w:pStyle w:val="20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体温计</w:t>
            </w:r>
          </w:p>
        </w:tc>
        <w:tc>
          <w:tcPr>
            <w:tcW w:w="7651" w:type="dxa"/>
          </w:tcPr>
          <w:p w14:paraId="2C709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测量范围‌：显示范围32°C-43°C，测量范围34℃～42.2℃。</w:t>
            </w:r>
          </w:p>
          <w:p w14:paraId="1C494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‌分辨率‌：最小分辨率0.1°C。</w:t>
            </w:r>
          </w:p>
          <w:p w14:paraId="07778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‌温度单位‌：摄氏度°C/华氏度°F可切换。</w:t>
            </w:r>
          </w:p>
          <w:p w14:paraId="490E6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‌电源‌：2节7号（AAA）电池，1.5V。</w:t>
            </w:r>
          </w:p>
          <w:p w14:paraId="13B3D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‌材质‌：ABS外壳</w:t>
            </w:r>
            <w:r>
              <w:rPr>
                <w:rFonts w:hint="eastAsia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或更优</w:t>
            </w: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7C96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‌自动关机‌：约60秒无操作自动关机。</w:t>
            </w:r>
          </w:p>
          <w:p w14:paraId="0D4E3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‌测量时间‌：约1-2秒。‌‌</w:t>
            </w:r>
          </w:p>
        </w:tc>
        <w:tc>
          <w:tcPr>
            <w:tcW w:w="450" w:type="dxa"/>
            <w:vAlign w:val="center"/>
          </w:tcPr>
          <w:p w14:paraId="09E1B01D">
            <w:pPr>
              <w:bidi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5" w:type="dxa"/>
            <w:vAlign w:val="center"/>
          </w:tcPr>
          <w:p w14:paraId="1864ECB8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个</w:t>
            </w:r>
          </w:p>
        </w:tc>
      </w:tr>
      <w:tr w14:paraId="66F30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429" w:type="dxa"/>
            <w:vAlign w:val="center"/>
          </w:tcPr>
          <w:p w14:paraId="1DDED307">
            <w:pPr>
              <w:pStyle w:val="20"/>
              <w:ind w:firstLine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154" w:type="dxa"/>
            <w:vAlign w:val="center"/>
          </w:tcPr>
          <w:p w14:paraId="446DD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textAlignment w:val="auto"/>
              <w:rPr>
                <w:rFonts w:hint="default" w:cs="宋体"/>
                <w:sz w:val="21"/>
                <w:szCs w:val="21"/>
                <w:lang w:val="en-US" w:eastAsia="zh-CN"/>
              </w:rPr>
            </w:pPr>
          </w:p>
          <w:p w14:paraId="420ED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cs="宋体"/>
                <w:sz w:val="21"/>
                <w:szCs w:val="21"/>
                <w:lang w:val="en-US" w:eastAsia="zh-CN"/>
              </w:rPr>
              <w:t>治疗车</w:t>
            </w:r>
          </w:p>
        </w:tc>
        <w:tc>
          <w:tcPr>
            <w:tcW w:w="7651" w:type="dxa"/>
          </w:tcPr>
          <w:p w14:paraId="1044F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1、规格：900×500×850mm</w:t>
            </w:r>
          </w:p>
          <w:p w14:paraId="78FF0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2、性能材质：</w:t>
            </w:r>
          </w:p>
          <w:p w14:paraId="18348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（1）整车由优质201不锈钢管及不锈钢板经焊接组装而成，管厚为：1.5mm,板厚为1.0mm；</w:t>
            </w:r>
          </w:p>
          <w:p w14:paraId="2138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（2）整车分上下二层，每层设有三面护栏，配置两个抽屉，滑轨设计，抽屉配置圆型拉手，右前车脚25公分处焊有垃圾桶圈，以便回收废品；</w:t>
            </w:r>
          </w:p>
          <w:p w14:paraId="7A603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bCs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（3）采用3寸万向轮4只，无噪音； </w:t>
            </w:r>
          </w:p>
        </w:tc>
        <w:tc>
          <w:tcPr>
            <w:tcW w:w="450" w:type="dxa"/>
            <w:vAlign w:val="center"/>
          </w:tcPr>
          <w:p w14:paraId="6A7D8E28">
            <w:pPr>
              <w:bidi w:val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25" w:type="dxa"/>
            <w:vAlign w:val="center"/>
          </w:tcPr>
          <w:p w14:paraId="6C7DF3E1">
            <w:pPr>
              <w:pStyle w:val="20"/>
              <w:ind w:firstLine="0"/>
              <w:jc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台</w:t>
            </w:r>
          </w:p>
        </w:tc>
      </w:tr>
    </w:tbl>
    <w:p w14:paraId="77948A25">
      <w:pPr>
        <w:keepNext w:val="0"/>
        <w:keepLines w:val="0"/>
        <w:suppressLineNumbers w:val="0"/>
        <w:spacing w:before="0" w:beforeLines="0" w:beforeAutospacing="0" w:after="0" w:afterLines="0" w:afterAutospacing="0"/>
        <w:ind w:left="0" w:right="0"/>
        <w:rPr>
          <w:rFonts w:hint="eastAsia"/>
          <w:b/>
          <w:bCs/>
          <w:color w:val="auto"/>
          <w:highlight w:val="none"/>
          <w:lang w:val="en-US" w:eastAsia="zh-CN"/>
        </w:rPr>
      </w:pPr>
    </w:p>
    <w:p w14:paraId="0CC8E88A">
      <w:pPr>
        <w:keepNext w:val="0"/>
        <w:keepLines w:val="0"/>
        <w:suppressLineNumbers w:val="0"/>
        <w:spacing w:before="0" w:beforeLines="0" w:beforeAutospacing="0" w:after="0" w:afterLines="0" w:afterAutospacing="0"/>
        <w:ind w:left="0" w:right="0"/>
        <w:rPr>
          <w:rFonts w:hint="eastAsia"/>
          <w:b/>
          <w:bCs/>
          <w:color w:val="auto"/>
          <w:highlight w:val="none"/>
          <w:lang w:val="en-US" w:eastAsia="zh-CN"/>
        </w:rPr>
      </w:pPr>
    </w:p>
    <w:p w14:paraId="2EB441DD">
      <w:pPr>
        <w:keepNext w:val="0"/>
        <w:keepLines w:val="0"/>
        <w:suppressLineNumbers w:val="0"/>
        <w:spacing w:before="0" w:beforeLines="0" w:beforeAutospacing="0" w:after="0" w:afterLines="0" w:afterAutospacing="0"/>
        <w:ind w:left="0" w:right="0"/>
        <w:rPr>
          <w:rFonts w:hint="eastAsia"/>
          <w:b/>
          <w:bCs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商务要求</w:t>
      </w:r>
    </w:p>
    <w:p w14:paraId="048ACEEF">
      <w:pPr>
        <w:ind w:firstLine="420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本项目为交钥匙项目，合同总价包括全部产品价格【含免费与本院相关信息系统（PACS、HIS、LIS等）对接费用，及设备软件调试、升级、改造、运维、计量检测等费用】、无缝结合、备品备件、专用工具、包装、运输、装卸、保险、税金、货到位以及原有旧设备的拆除、安装、安装所需辅材、医院装修未尽事项、调试、检验、售后服务、培训、保修等，直至验收合格交付及质保期间所发生的所有费用。</w:t>
      </w:r>
    </w:p>
    <w:p w14:paraId="2211F114">
      <w:pPr>
        <w:ind w:firstLine="420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1、按国家有关产品三包规定执行“三包”，质保期：整机质保期不少于两年，质保期内故障时间顺延质保期。</w:t>
      </w:r>
    </w:p>
    <w:p w14:paraId="10BEABD3">
      <w:pPr>
        <w:ind w:firstLine="420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 xml:space="preserve">2、在使用过程中若产品发生质量问题或故障，在接到采购人通知后1个小时内响应，8小时内到达故障现场处理，一般故障处理时限不超过24小时修复，同时必须提供同档次的备用机给采购人使用。 </w:t>
      </w:r>
    </w:p>
    <w:p w14:paraId="51ACADEB">
      <w:pPr>
        <w:ind w:firstLine="420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3、定期免费上门维护检查设备运行情况，每年至少2次。</w:t>
      </w:r>
    </w:p>
    <w:p w14:paraId="1141399D">
      <w:pPr>
        <w:ind w:firstLine="420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4、需提供不少于8小时的系统化操作培训，可根据临床科室实际情况分次完成但总时长不得低于8小时，培训内容应包括设备及配套器械的基本原理、安装与拆卸流程、操作规范、日常维护保养、常见故障识别及应急处理等。</w:t>
      </w:r>
    </w:p>
    <w:p w14:paraId="65E00B71">
      <w:pPr>
        <w:bidi w:val="0"/>
        <w:jc w:val="left"/>
        <w:rPr>
          <w:rFonts w:hint="default" w:ascii="黑体" w:hAnsi="黑体" w:eastAsia="黑体" w:cs="黑体"/>
          <w:b w:val="0"/>
          <w:bCs w:val="0"/>
          <w:sz w:val="24"/>
          <w:szCs w:val="32"/>
          <w:lang w:val="en-US" w:eastAsia="zh-CN"/>
        </w:rPr>
      </w:pPr>
    </w:p>
    <w:p w14:paraId="7FA9CC3C">
      <w:pPr>
        <w:keepNext w:val="0"/>
        <w:keepLines w:val="0"/>
        <w:suppressLineNumbers w:val="0"/>
        <w:spacing w:before="0" w:beforeLines="0" w:beforeAutospacing="0" w:after="0" w:afterLines="0" w:afterAutospacing="0"/>
        <w:ind w:left="0" w:right="0"/>
        <w:rPr>
          <w:rFonts w:hint="eastAsia" w:ascii="宋体" w:hAnsi="宋体" w:eastAsia="宋体" w:cs="Times New Roman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auto"/>
          <w:sz w:val="30"/>
          <w:szCs w:val="30"/>
          <w:highlight w:val="none"/>
          <w:lang w:val="en-US" w:eastAsia="zh-CN"/>
        </w:rPr>
        <w:t>付款方式</w:t>
      </w:r>
    </w:p>
    <w:p w14:paraId="3973F30D">
      <w:pPr>
        <w:ind w:firstLine="420" w:firstLineChars="200"/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签订合同开具正规合法发票且设备验收合格后 22个工作日内支付合同金额 95%,剩余合同价款的5%待履行完合同约定的权利义务事项后【成交供应商承诺保质期(免费保修、维护、升级期)满】且不存在争议的,成交供应商凭合同和《项目验收单》向采购人申请办理支付手续，22个工作日支付剩余款，不计息。</w:t>
      </w:r>
    </w:p>
    <w:p w14:paraId="6AA7E64B"/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6DBE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B2D573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B2D573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3"/>
      <w:suff w:val="nothing"/>
      <w:lvlText w:val="%1.%2　"/>
      <w:lvlJc w:val="left"/>
      <w:pPr>
        <w:ind w:left="852" w:firstLine="0"/>
      </w:pPr>
      <w:rPr>
        <w:rFonts w:hint="eastAsia" w:ascii="宋体" w:hAnsi="宋体" w:eastAsia="宋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4"/>
        <w:szCs w:val="24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3828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A428C"/>
    <w:rsid w:val="024C0B91"/>
    <w:rsid w:val="03BE05F9"/>
    <w:rsid w:val="0485621B"/>
    <w:rsid w:val="097F1A8E"/>
    <w:rsid w:val="0B7E06DC"/>
    <w:rsid w:val="0C872EB1"/>
    <w:rsid w:val="0C9E047D"/>
    <w:rsid w:val="0D276ECC"/>
    <w:rsid w:val="0F8466F5"/>
    <w:rsid w:val="11EC7812"/>
    <w:rsid w:val="17894ADB"/>
    <w:rsid w:val="1AE45BF4"/>
    <w:rsid w:val="1D6D7A3B"/>
    <w:rsid w:val="210F7D57"/>
    <w:rsid w:val="23BF7C21"/>
    <w:rsid w:val="26D92385"/>
    <w:rsid w:val="2818512F"/>
    <w:rsid w:val="299676C1"/>
    <w:rsid w:val="2BB36FB3"/>
    <w:rsid w:val="2DED6716"/>
    <w:rsid w:val="2F317DB5"/>
    <w:rsid w:val="2FE601E3"/>
    <w:rsid w:val="31A72F1E"/>
    <w:rsid w:val="3BD66A83"/>
    <w:rsid w:val="3CD15DE3"/>
    <w:rsid w:val="3DF14469"/>
    <w:rsid w:val="3E240CD8"/>
    <w:rsid w:val="3F58000B"/>
    <w:rsid w:val="40254BFD"/>
    <w:rsid w:val="42577621"/>
    <w:rsid w:val="46671027"/>
    <w:rsid w:val="4B80777E"/>
    <w:rsid w:val="53CC5902"/>
    <w:rsid w:val="5B545DA7"/>
    <w:rsid w:val="5CDF354A"/>
    <w:rsid w:val="64650657"/>
    <w:rsid w:val="668C251C"/>
    <w:rsid w:val="703765FF"/>
    <w:rsid w:val="734259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lock Text"/>
    <w:basedOn w:val="1"/>
    <w:qFormat/>
    <w:uiPriority w:val="99"/>
    <w:pPr>
      <w:adjustRightInd w:val="0"/>
      <w:ind w:left="420" w:right="33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2"/>
    <w:basedOn w:val="1"/>
    <w:next w:val="1"/>
    <w:unhideWhenUsed/>
    <w:qFormat/>
    <w:uiPriority w:val="0"/>
    <w:pPr>
      <w:ind w:left="420" w:leftChars="200"/>
    </w:pPr>
  </w:style>
  <w:style w:type="paragraph" w:styleId="10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11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5">
    <w:name w:val="Table Grid"/>
    <w:basedOn w:val="1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Hyperlink"/>
    <w:basedOn w:val="16"/>
    <w:qFormat/>
    <w:uiPriority w:val="99"/>
    <w:rPr>
      <w:rFonts w:cs="Times New Roman"/>
      <w:color w:val="0000FF"/>
      <w:u w:val="single"/>
    </w:rPr>
  </w:style>
  <w:style w:type="paragraph" w:customStyle="1" w:styleId="18">
    <w:name w:val="样式 首行缩进:  2 字符"/>
    <w:basedOn w:val="1"/>
    <w:unhideWhenUsed/>
    <w:qFormat/>
    <w:uiPriority w:val="0"/>
    <w:pPr>
      <w:spacing w:line="400" w:lineRule="exact"/>
      <w:ind w:firstLine="200" w:firstLineChars="200"/>
    </w:pPr>
    <w:rPr>
      <w:rFonts w:ascii="Calibri" w:hAnsi="Calibri" w:eastAsia="宋体" w:cs="Times New Roman"/>
      <w:szCs w:val="22"/>
    </w:rPr>
  </w:style>
  <w:style w:type="paragraph" w:customStyle="1" w:styleId="19">
    <w:name w:val="样式 正文文本缩进 + 首行缩进:  2 字符 行距: 1.5 倍行距"/>
    <w:basedOn w:val="5"/>
    <w:qFormat/>
    <w:uiPriority w:val="0"/>
    <w:rPr>
      <w:rFonts w:cs="宋体"/>
    </w:rPr>
  </w:style>
  <w:style w:type="paragraph" w:customStyle="1" w:styleId="20">
    <w:name w:val="**正文"/>
    <w:basedOn w:val="1"/>
    <w:qFormat/>
    <w:uiPriority w:val="0"/>
    <w:pPr>
      <w:ind w:firstLine="482"/>
    </w:pPr>
    <w:rPr>
      <w:rFonts w:ascii="宋体" w:hAnsi="宋体"/>
      <w:sz w:val="24"/>
    </w:rPr>
  </w:style>
  <w:style w:type="paragraph" w:customStyle="1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列出段落"/>
    <w:basedOn w:val="1"/>
    <w:qFormat/>
    <w:uiPriority w:val="34"/>
    <w:pPr>
      <w:widowControl/>
      <w:ind w:firstLine="420" w:firstLineChars="200"/>
      <w:jc w:val="left"/>
    </w:pPr>
    <w:rPr>
      <w:kern w:val="0"/>
      <w:sz w:val="24"/>
    </w:rPr>
  </w:style>
  <w:style w:type="paragraph" w:customStyle="1" w:styleId="23">
    <w:name w:val="一级条标题"/>
    <w:next w:val="24"/>
    <w:qFormat/>
    <w:uiPriority w:val="0"/>
    <w:pPr>
      <w:numPr>
        <w:ilvl w:val="1"/>
        <w:numId w:val="1"/>
      </w:numPr>
      <w:spacing w:beforeLines="50" w:afterLines="50"/>
      <w:ind w:left="426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4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">
    <w:name w:val="_Style 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4916</Words>
  <Characters>5387</Characters>
  <Lines>17</Lines>
  <Paragraphs>4</Paragraphs>
  <TotalTime>1</TotalTime>
  <ScaleCrop>false</ScaleCrop>
  <LinksUpToDate>false</LinksUpToDate>
  <CharactersWithSpaces>5571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2411-12-30T00:00:00Z</dcterms:created>
  <dc:creator>Administrator</dc:creator>
  <cp:lastModifiedBy>尧</cp:lastModifiedBy>
  <cp:lastPrinted>2026-04-24T04:53:00Z</cp:lastPrinted>
  <dcterms:modified xsi:type="dcterms:W3CDTF">2026-10-26T00:43:48Z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F381256ED850418A95BEF1D82665E5BA_13</vt:lpwstr>
  </property>
  <property fmtid="{D5CDD505-2E9C-101B-9397-08002B2CF9AE}" pid="4" name="KSOTemplateDocerSaveRecord">
    <vt:lpwstr>eyJoZGlkIjoiNjk3YzhkMDIyYTVhMTE4NWU0MzExM2UxY2QxOTE2ZmUiLCJ1c2VySWQiOiIzMTQ0NjA5NjcifQ==</vt:lpwstr>
  </property>
</Properties>
</file>