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10235">
      <w:pPr>
        <w:widowControl/>
        <w:spacing w:line="360" w:lineRule="auto"/>
        <w:jc w:val="center"/>
        <w:textAlignment w:val="center"/>
        <w:rPr>
          <w:rFonts w:ascii="宋体" w:hAnsi="宋体" w:eastAsia="方正大标宋简体" w:cs="宋体"/>
          <w:b/>
          <w:sz w:val="24"/>
        </w:rPr>
      </w:pPr>
      <w:r>
        <w:rPr>
          <w:rFonts w:hint="eastAsia" w:ascii="宋体" w:hAnsi="宋体" w:eastAsia="方正大标宋简体" w:cs="宋体"/>
          <w:b/>
          <w:sz w:val="24"/>
        </w:rPr>
        <w:t>需求参数</w:t>
      </w:r>
    </w:p>
    <w:p w14:paraId="63974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22"/>
          <w:szCs w:val="22"/>
          <w:vertAlign w:val="baseline"/>
          <w:lang w:val="en-US" w:eastAsia="zh-CN"/>
        </w:rPr>
        <w:t>（一）主要要求：</w:t>
      </w:r>
    </w:p>
    <w:p w14:paraId="08D49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遵循循证医学理念，参考国家相关政策、国际国内行业标准、专家共识等，包括评估规范、防治指导规范、数据标准、建设与管理标准等，具有稳定性、可靠性、兼容性、易用性和安全性。</w:t>
      </w:r>
    </w:p>
    <w:p w14:paraId="3C029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系统具体功能：</w:t>
      </w:r>
    </w:p>
    <w:p w14:paraId="2259D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1）评估系统具有医疗严谨属性，具备评估资质的评估人员（医生、护士）独立完成评估操作，完成评估后系统提示评估人员确认评估结果，并根据系统自动生成的评估报告（含详细的防治指导建议）进行确认（系统支持修改防治建议），评估人员确认了评估结果和防治指导建议后，须在评估系统进行手写签名，以表示评估人员对此次评估全部过程予以确认，打印给患者的纸质评估报告须上级医生、护士签字审核。</w:t>
      </w:r>
    </w:p>
    <w:p w14:paraId="4166F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2）评估量表：经专业老年医学团队指导，选取信效度、敏感度极高，适用临床广泛应用的评估量表，严格按照量表规范开展评估，其中系统对每个量表都进行了解释说明，对量表中有要求的大部分问题在题目旁边设置了感叹符号的图标，点开图标即可查看详细的操作指导语，提示评估人员应严格执行操作，确保评估的有效性。</w:t>
      </w:r>
    </w:p>
    <w:p w14:paraId="27CC5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（3）评估类型分为：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老年综合评估（CGA）筛查版、老年综合评估（CGA）标准版、能力等级评估（老年人能力评估、长期护理失能等级评估）、围手术期评估、自定义评估、专项评估（生前预嘱）六大评估模型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。</w:t>
      </w:r>
    </w:p>
    <w:p w14:paraId="2133E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（4）多应用端口：院内管理端、Android评估端、PC评估端，满足多样的操作需求。</w:t>
      </w:r>
    </w:p>
    <w:p w14:paraId="515EF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（5）科学算法：系统根据评估算法，自动计算评估得分以及评估结果；相互关联指标系统设置自动换算；互斥性指标，系统采取置灰、跳转、隐藏方式进行提示或自动处理。</w:t>
      </w:r>
    </w:p>
    <w:p w14:paraId="5DEC6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（6）严谨流程控制：单项评估提交，提示确认；完成评估后，需评估人员签名确认；为保证医疗服务的严谨性，评估报告提交后不得随意修改，如需重新评估，应选择新建评估。</w:t>
      </w:r>
    </w:p>
    <w:p w14:paraId="14B36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（7）防控技术：系统根据评估对象的健康指标、基本信息、答题选项、评估结果等进行综合分析，科学配置适宜的防治和照护计划。</w:t>
      </w:r>
    </w:p>
    <w:p w14:paraId="08675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（8）多学科支持：防治指导建议包括生活方式、功能康复、用药指导、照护建议等多维度提供全面适宜方案。</w:t>
      </w:r>
    </w:p>
    <w:p w14:paraId="19674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（9）多层安全保障：从操作系统、数据库、应用软件等多层次设置安全屏障，有效保证数据安全，保证数据不被篡改，保证网络信息的安全性和完整性。</w:t>
      </w:r>
    </w:p>
    <w:p w14:paraId="2CDFF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（10）多维度数据展示：从全院的评估总况、评估结果、评估对象三个维度的多项数据指标进行可视化数据统计与展示。</w:t>
      </w:r>
    </w:p>
    <w:p w14:paraId="3D818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center"/>
        <w:rPr>
          <w:rFonts w:hint="eastAsia" w:ascii="宋体" w:hAnsi="宋体" w:eastAsia="方正大标宋简体" w:cs="宋体"/>
          <w:b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（11）使用老年综合评估智慧防控系统可提供由老年医学科专家、医生、护士组成的专家咨询团队，为使用单位提供学科建设、评估室建设、制度建设、评估及干预复杂问题，给予实际的指导和学术合作。</w:t>
      </w:r>
    </w:p>
    <w:p w14:paraId="20F3C1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（二）商务要求</w:t>
      </w:r>
    </w:p>
    <w:tbl>
      <w:tblPr>
        <w:tblStyle w:val="12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164"/>
      </w:tblGrid>
      <w:tr w14:paraId="648F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60" w:type="dxa"/>
            <w:vAlign w:val="center"/>
          </w:tcPr>
          <w:p w14:paraId="60133E2B">
            <w:pPr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1.供应商资质</w:t>
            </w:r>
          </w:p>
        </w:tc>
        <w:tc>
          <w:tcPr>
            <w:tcW w:w="7164" w:type="dxa"/>
            <w:vAlign w:val="center"/>
          </w:tcPr>
          <w:p w14:paraId="3954397B">
            <w:pPr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国内注册【依法在市场监督管理部门（或行政审批部门）登记注册】的，具备合法资格的供应商。</w:t>
            </w:r>
          </w:p>
        </w:tc>
      </w:tr>
      <w:tr w14:paraId="02AF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260" w:type="dxa"/>
            <w:vAlign w:val="center"/>
          </w:tcPr>
          <w:p w14:paraId="2A7CC117">
            <w:pPr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提供免费技术培训</w:t>
            </w:r>
          </w:p>
          <w:p w14:paraId="2F957187"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64" w:type="dxa"/>
            <w:vAlign w:val="center"/>
          </w:tcPr>
          <w:p w14:paraId="6BC2C8E1">
            <w:pPr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须提供详细的项目培训计划；对系统使用人员、系统运行维护管理人员等不同对象的培训计划；培训课程安排、培训方式及时间；地点场所由采购人提供；提供系统操作培训：主要面向医院医务人员及相关管理部门等使用系统的人员，提供操作培训；提供系统日常维护系统培训：主要面向医院信息管理技术人员进行培训，使其具备独立进行系统日常维护、故障的诊断与处理等方面的培训。</w:t>
            </w:r>
          </w:p>
        </w:tc>
      </w:tr>
      <w:tr w14:paraId="2B93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60" w:type="dxa"/>
            <w:vAlign w:val="center"/>
          </w:tcPr>
          <w:p w14:paraId="59FDE80F">
            <w:pPr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3.交付地点</w:t>
            </w:r>
          </w:p>
        </w:tc>
        <w:tc>
          <w:tcPr>
            <w:tcW w:w="7164" w:type="dxa"/>
            <w:vAlign w:val="center"/>
          </w:tcPr>
          <w:p w14:paraId="5F0D145C">
            <w:pPr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1.交付期：自签订合同之日起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日历日内验收合格并交付采购人使用。</w:t>
            </w:r>
          </w:p>
          <w:p w14:paraId="4558604E">
            <w:pPr>
              <w:widowControl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2.招标人指定地点。</w:t>
            </w:r>
          </w:p>
        </w:tc>
      </w:tr>
      <w:tr w14:paraId="09E1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260" w:type="dxa"/>
            <w:vAlign w:val="center"/>
          </w:tcPr>
          <w:p w14:paraId="14358007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4.付款方式</w:t>
            </w:r>
          </w:p>
        </w:tc>
        <w:tc>
          <w:tcPr>
            <w:tcW w:w="7164" w:type="dxa"/>
            <w:vAlign w:val="center"/>
          </w:tcPr>
          <w:p w14:paraId="7EDFC2AF">
            <w:pPr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付款方式：合同签订之后，乙方将尽快安排入场安装，在软件上线并验收合格后，乙方开具对应金额的有效发票，甲方在收到发票后，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0个工作日后将终验款（合同金额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%），一次性支付给乙方；合同总额中包含不少于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维保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6E2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260" w:type="dxa"/>
            <w:vAlign w:val="center"/>
          </w:tcPr>
          <w:p w14:paraId="5A00F4EB">
            <w:pPr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5.验收标准</w:t>
            </w:r>
          </w:p>
          <w:p w14:paraId="43726854"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64" w:type="dxa"/>
            <w:vAlign w:val="center"/>
          </w:tcPr>
          <w:p w14:paraId="550C8BFF"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1.依据招标文件要求的采购需求、投标人报价响应文件承诺以及国家现行相关标准、规范履行合同。</w:t>
            </w:r>
          </w:p>
          <w:p w14:paraId="760B6B7C">
            <w:pPr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2.采购人依照国家相关法律法规及行业规定及询价文件要求、投标人报价响应文件承诺进行验收。</w:t>
            </w:r>
          </w:p>
        </w:tc>
      </w:tr>
      <w:tr w14:paraId="7384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60" w:type="dxa"/>
            <w:vAlign w:val="center"/>
          </w:tcPr>
          <w:p w14:paraId="1AF9F7FE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6.报价要求</w:t>
            </w:r>
          </w:p>
        </w:tc>
        <w:tc>
          <w:tcPr>
            <w:tcW w:w="7164" w:type="dxa"/>
            <w:vAlign w:val="center"/>
          </w:tcPr>
          <w:p w14:paraId="28F1B5A5">
            <w:pPr>
              <w:widowControl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本项目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包含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所有成本、税金及合理利润，具体包含但不限于完成采购标的包含的所有人工费用、差旅费、交通费、故障诊断费、培训费、保险、税金、利润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软件接口对接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等所有成本费用。在合同实施时，采购人将不予支付完成本项目必须的但成交人没有列入的费用，并认为此费用已包括在报价中。</w:t>
            </w:r>
          </w:p>
        </w:tc>
      </w:tr>
      <w:tr w14:paraId="4971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60" w:type="dxa"/>
            <w:vAlign w:val="center"/>
          </w:tcPr>
          <w:p w14:paraId="127B986E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7.最高限价</w:t>
            </w:r>
          </w:p>
        </w:tc>
        <w:tc>
          <w:tcPr>
            <w:tcW w:w="7164" w:type="dxa"/>
            <w:vAlign w:val="center"/>
          </w:tcPr>
          <w:p w14:paraId="368C8CED">
            <w:pPr>
              <w:widowControl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本项目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预算金额为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1万元/年，租用三年，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投标人报价超出参考预算金额的，按无效处理。</w:t>
            </w:r>
            <w:bookmarkStart w:id="0" w:name="_GoBack"/>
            <w:bookmarkEnd w:id="0"/>
          </w:p>
        </w:tc>
      </w:tr>
      <w:tr w14:paraId="629D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260" w:type="dxa"/>
            <w:vAlign w:val="center"/>
          </w:tcPr>
          <w:p w14:paraId="4C02CDB2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其他要求</w:t>
            </w:r>
          </w:p>
        </w:tc>
        <w:tc>
          <w:tcPr>
            <w:tcW w:w="7164" w:type="dxa"/>
            <w:vAlign w:val="center"/>
          </w:tcPr>
          <w:p w14:paraId="2B82B182">
            <w:pPr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本项目所提供的软件必须具有合法的版权或使用权，如在本项目范围内使用过程中出现版权或使用权纠纷，应由中标人负责。</w:t>
            </w:r>
          </w:p>
        </w:tc>
      </w:tr>
    </w:tbl>
    <w:p w14:paraId="51A3E65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4E"/>
    <w:rsid w:val="00050924"/>
    <w:rsid w:val="000E5C90"/>
    <w:rsid w:val="0020414E"/>
    <w:rsid w:val="002E3066"/>
    <w:rsid w:val="002E7707"/>
    <w:rsid w:val="002F4EC0"/>
    <w:rsid w:val="003125C0"/>
    <w:rsid w:val="00367C7C"/>
    <w:rsid w:val="005C6AB4"/>
    <w:rsid w:val="00651C75"/>
    <w:rsid w:val="00664606"/>
    <w:rsid w:val="007032A0"/>
    <w:rsid w:val="007252D9"/>
    <w:rsid w:val="00783763"/>
    <w:rsid w:val="00843BC8"/>
    <w:rsid w:val="008B09C7"/>
    <w:rsid w:val="008E3175"/>
    <w:rsid w:val="0096565B"/>
    <w:rsid w:val="009F7815"/>
    <w:rsid w:val="00AD318E"/>
    <w:rsid w:val="00BC5F0C"/>
    <w:rsid w:val="00BD24B8"/>
    <w:rsid w:val="00BD576D"/>
    <w:rsid w:val="00D23C4A"/>
    <w:rsid w:val="00D811E6"/>
    <w:rsid w:val="00E35CD7"/>
    <w:rsid w:val="00ED084E"/>
    <w:rsid w:val="00EF5CD0"/>
    <w:rsid w:val="00F80988"/>
    <w:rsid w:val="00FF6C6C"/>
    <w:rsid w:val="012313A8"/>
    <w:rsid w:val="01565C22"/>
    <w:rsid w:val="04A86794"/>
    <w:rsid w:val="04DA26C6"/>
    <w:rsid w:val="05962A91"/>
    <w:rsid w:val="0A8F5D00"/>
    <w:rsid w:val="0ADB6EE6"/>
    <w:rsid w:val="0DA624A1"/>
    <w:rsid w:val="12670401"/>
    <w:rsid w:val="12E070F9"/>
    <w:rsid w:val="153876C0"/>
    <w:rsid w:val="153E0A4F"/>
    <w:rsid w:val="17081314"/>
    <w:rsid w:val="18816D9D"/>
    <w:rsid w:val="19D11E91"/>
    <w:rsid w:val="1A2E4BEE"/>
    <w:rsid w:val="1ACF5E6A"/>
    <w:rsid w:val="1AE75D55"/>
    <w:rsid w:val="1ED541C5"/>
    <w:rsid w:val="20FA1CCE"/>
    <w:rsid w:val="23103A2A"/>
    <w:rsid w:val="2494755A"/>
    <w:rsid w:val="28621DEB"/>
    <w:rsid w:val="2BF70F05"/>
    <w:rsid w:val="2D031F0A"/>
    <w:rsid w:val="32E77BD8"/>
    <w:rsid w:val="33AB6E58"/>
    <w:rsid w:val="37B07132"/>
    <w:rsid w:val="3A4F678F"/>
    <w:rsid w:val="3D980717"/>
    <w:rsid w:val="3DB8289D"/>
    <w:rsid w:val="3F165ACD"/>
    <w:rsid w:val="41EC520B"/>
    <w:rsid w:val="434344D7"/>
    <w:rsid w:val="46452681"/>
    <w:rsid w:val="475C24EB"/>
    <w:rsid w:val="479E48B1"/>
    <w:rsid w:val="4B21533E"/>
    <w:rsid w:val="4E454EEC"/>
    <w:rsid w:val="531D7723"/>
    <w:rsid w:val="54353740"/>
    <w:rsid w:val="5A0759AE"/>
    <w:rsid w:val="5C4D0CF6"/>
    <w:rsid w:val="5CA97B29"/>
    <w:rsid w:val="684E77D6"/>
    <w:rsid w:val="68E87C2B"/>
    <w:rsid w:val="6FB15B9F"/>
    <w:rsid w:val="7121017E"/>
    <w:rsid w:val="71E76022"/>
    <w:rsid w:val="725D51E5"/>
    <w:rsid w:val="741B2C62"/>
    <w:rsid w:val="79825F6B"/>
    <w:rsid w:val="79B6025F"/>
    <w:rsid w:val="7DE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ind w:firstLine="560" w:firstLineChars="200"/>
      <w:outlineLvl w:val="2"/>
    </w:pPr>
    <w:rPr>
      <w:rFonts w:ascii="Calibri" w:hAnsi="Calibri"/>
      <w:sz w:val="28"/>
      <w:szCs w:val="22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0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字符"/>
    <w:link w:val="4"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16">
    <w:name w:val="标题 2 字符"/>
    <w:basedOn w:val="14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4 字符"/>
    <w:basedOn w:val="14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8">
    <w:name w:val="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9">
    <w:name w:val="标题 5 字符"/>
    <w:basedOn w:val="14"/>
    <w:link w:val="6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20">
    <w:name w:val="标题 6 字符"/>
    <w:basedOn w:val="14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1">
    <w:name w:val="标题 7 字符"/>
    <w:basedOn w:val="14"/>
    <w:link w:val="8"/>
    <w:semiHidden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paragraph" w:customStyle="1" w:styleId="22">
    <w:name w:val="标准正文"/>
    <w:basedOn w:val="1"/>
    <w:link w:val="23"/>
    <w:qFormat/>
    <w:uiPriority w:val="0"/>
    <w:pPr>
      <w:widowControl/>
      <w:spacing w:line="360" w:lineRule="auto"/>
      <w:ind w:firstLine="480" w:firstLineChars="200"/>
    </w:pPr>
    <w:rPr>
      <w:rFonts w:ascii="宋体" w:hAnsi="宋体" w:cs="宋体"/>
      <w:bCs/>
      <w:kern w:val="0"/>
      <w:sz w:val="24"/>
    </w:rPr>
  </w:style>
  <w:style w:type="character" w:customStyle="1" w:styleId="23">
    <w:name w:val="标准正文 Char"/>
    <w:link w:val="22"/>
    <w:qFormat/>
    <w:locked/>
    <w:uiPriority w:val="0"/>
    <w:rPr>
      <w:rFonts w:ascii="宋体" w:hAnsi="宋体" w:eastAsia="宋体" w:cs="宋体"/>
      <w:bCs/>
      <w:sz w:val="24"/>
      <w:szCs w:val="24"/>
    </w:rPr>
  </w:style>
  <w:style w:type="character" w:customStyle="1" w:styleId="24">
    <w:name w:val="页眉 字符"/>
    <w:basedOn w:val="14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页脚 字符"/>
    <w:basedOn w:val="14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32199</Words>
  <Characters>33705</Characters>
  <Lines>264</Lines>
  <Paragraphs>74</Paragraphs>
  <TotalTime>3</TotalTime>
  <ScaleCrop>false</ScaleCrop>
  <LinksUpToDate>false</LinksUpToDate>
  <CharactersWithSpaces>33728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2026-03-10T08:07:00Z</dcterms:created>
  <dcterms:modified xsi:type="dcterms:W3CDTF">2026-06-23T03:22:34Z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eyJoZGlkIjoiNjYzZGY5YWM3YzA2NTcwNDgyNTE0MDgyZjdhY2YwOGEifQ==</vt:lpwstr>
  </property>
  <property fmtid="{D5CDD505-2E9C-101B-9397-08002B2CF9AE}" pid="3" name="KSOProductBuildVer">
    <vt:lpwstr>2052-12.1.0.24031</vt:lpwstr>
  </property>
  <property fmtid="{D5CDD505-2E9C-101B-9397-08002B2CF9AE}" pid="4" name="ICV">
    <vt:lpwstr>8CD0DEA96AA24DE98BDBA2ABE35D6BC8_13</vt:lpwstr>
  </property>
</Properties>
</file>