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E0A26">
      <w:pP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附件：项目总体要求</w:t>
      </w:r>
    </w:p>
    <w:p w14:paraId="12BA8682">
      <w:pPr>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、项目背景</w:t>
      </w:r>
    </w:p>
    <w:p w14:paraId="02E45622">
      <w:pPr>
        <w:ind w:firstLine="560" w:firstLineChars="200"/>
        <w:rPr>
          <w:rFonts w:hint="eastAsia" w:ascii="宋体" w:hAnsi="宋体" w:eastAsia="宋体" w:cs="宋体"/>
          <w:sz w:val="28"/>
          <w:szCs w:val="28"/>
        </w:rPr>
      </w:pPr>
      <w:r>
        <w:rPr>
          <w:rFonts w:hint="eastAsia" w:ascii="宋体" w:hAnsi="宋体" w:eastAsia="宋体" w:cs="宋体"/>
          <w:sz w:val="28"/>
          <w:szCs w:val="28"/>
        </w:rPr>
        <w:t>随着医院</w:t>
      </w:r>
      <w:r>
        <w:rPr>
          <w:rFonts w:hint="eastAsia" w:ascii="宋体" w:hAnsi="宋体" w:eastAsia="宋体" w:cs="宋体"/>
          <w:sz w:val="28"/>
          <w:szCs w:val="28"/>
          <w:lang w:val="en-US" w:eastAsia="zh-CN"/>
        </w:rPr>
        <w:t>新</w:t>
      </w:r>
      <w:r>
        <w:rPr>
          <w:rFonts w:hint="eastAsia" w:ascii="宋体" w:hAnsi="宋体" w:eastAsia="宋体" w:cs="宋体"/>
          <w:sz w:val="28"/>
          <w:szCs w:val="28"/>
        </w:rPr>
        <w:t>信息</w:t>
      </w:r>
      <w:r>
        <w:rPr>
          <w:rFonts w:hint="eastAsia" w:ascii="宋体" w:hAnsi="宋体" w:eastAsia="宋体" w:cs="宋体"/>
          <w:sz w:val="28"/>
          <w:szCs w:val="28"/>
          <w:lang w:val="en-US" w:eastAsia="zh-CN"/>
        </w:rPr>
        <w:t>系统</w:t>
      </w:r>
      <w:r>
        <w:rPr>
          <w:rFonts w:hint="eastAsia" w:ascii="宋体" w:hAnsi="宋体" w:eastAsia="宋体" w:cs="宋体"/>
          <w:sz w:val="28"/>
          <w:szCs w:val="28"/>
        </w:rPr>
        <w:t>建设的</w:t>
      </w:r>
      <w:r>
        <w:rPr>
          <w:rFonts w:hint="eastAsia" w:ascii="宋体" w:hAnsi="宋体" w:eastAsia="宋体" w:cs="宋体"/>
          <w:sz w:val="28"/>
          <w:szCs w:val="28"/>
          <w:lang w:val="en-US" w:eastAsia="zh-CN"/>
        </w:rPr>
        <w:t>逐步</w:t>
      </w:r>
      <w:r>
        <w:rPr>
          <w:rFonts w:hint="eastAsia" w:ascii="宋体" w:hAnsi="宋体" w:eastAsia="宋体" w:cs="宋体"/>
          <w:sz w:val="28"/>
          <w:szCs w:val="28"/>
        </w:rPr>
        <w:t>深入，HIS、电子病历、预约、掌上医院和集成平台等核心业务系统已成为医疗服务与医院管理的关键支撑。当前，服务器硬件故障、网络故障、数据库故障及自然灾害等风险，可能导致业务系统非计划停机，威胁数据安全与业务连续性。为有效防范上述风险，提升数据安全与业务连续性保障能力，构建“主备联动、快速恢复”的容灾体系，进一步强化核心业务系统安全防护等级。</w:t>
      </w:r>
    </w:p>
    <w:p w14:paraId="5A588A76">
      <w:pPr>
        <w:rPr>
          <w:rFonts w:hint="eastAsia" w:ascii="宋体" w:hAnsi="宋体" w:eastAsia="宋体" w:cs="宋体"/>
          <w:b/>
          <w:bCs/>
          <w:sz w:val="28"/>
          <w:szCs w:val="28"/>
        </w:rPr>
      </w:pPr>
      <w:r>
        <w:rPr>
          <w:rFonts w:hint="eastAsia" w:ascii="宋体" w:hAnsi="宋体" w:eastAsia="宋体" w:cs="宋体"/>
          <w:b/>
          <w:bCs/>
          <w:sz w:val="28"/>
          <w:szCs w:val="28"/>
        </w:rPr>
        <w:t>二、建设要求</w:t>
      </w:r>
    </w:p>
    <w:p w14:paraId="3A8B13C9">
      <w:pPr>
        <w:ind w:firstLine="560" w:firstLineChars="200"/>
        <w:rPr>
          <w:rFonts w:hint="eastAsia" w:ascii="宋体" w:hAnsi="宋体" w:eastAsia="宋体" w:cs="宋体"/>
          <w:sz w:val="28"/>
          <w:szCs w:val="28"/>
        </w:rPr>
      </w:pPr>
      <w:r>
        <w:rPr>
          <w:rFonts w:hint="eastAsia" w:ascii="宋体" w:hAnsi="宋体" w:eastAsia="宋体" w:cs="宋体"/>
          <w:sz w:val="28"/>
          <w:szCs w:val="28"/>
        </w:rPr>
        <w:t>1、核心业务不中断保障：针对 HIS 系统、电子病历系统、</w:t>
      </w:r>
      <w:r>
        <w:rPr>
          <w:rFonts w:hint="eastAsia" w:ascii="宋体" w:hAnsi="宋体" w:eastAsia="宋体" w:cs="宋体"/>
          <w:sz w:val="28"/>
          <w:szCs w:val="28"/>
          <w:lang w:val="en-US" w:eastAsia="zh-CN"/>
        </w:rPr>
        <w:t>LIS、PACS、</w:t>
      </w:r>
      <w:r>
        <w:rPr>
          <w:rFonts w:hint="eastAsia" w:ascii="宋体" w:hAnsi="宋体" w:eastAsia="宋体" w:cs="宋体"/>
          <w:sz w:val="28"/>
          <w:szCs w:val="28"/>
        </w:rPr>
        <w:t>预约诊疗系统、掌上医院平台及医疗数据集成平台</w:t>
      </w:r>
      <w:r>
        <w:rPr>
          <w:rFonts w:hint="eastAsia" w:ascii="宋体" w:hAnsi="宋体" w:eastAsia="宋体" w:cs="宋体"/>
          <w:sz w:val="28"/>
          <w:szCs w:val="28"/>
          <w:lang w:val="en-US" w:eastAsia="zh-CN"/>
        </w:rPr>
        <w:t>等</w:t>
      </w:r>
      <w:r>
        <w:rPr>
          <w:rFonts w:hint="eastAsia" w:ascii="宋体" w:hAnsi="宋体" w:eastAsia="宋体" w:cs="宋体"/>
          <w:sz w:val="28"/>
          <w:szCs w:val="28"/>
        </w:rPr>
        <w:t>核心业务，需建设</w:t>
      </w:r>
      <w:r>
        <w:rPr>
          <w:rFonts w:hint="eastAsia" w:ascii="宋体" w:hAnsi="宋体" w:eastAsia="宋体" w:cs="宋体"/>
          <w:sz w:val="28"/>
          <w:szCs w:val="28"/>
          <w:lang w:val="en-US" w:eastAsia="zh-CN"/>
        </w:rPr>
        <w:t>一套容灾</w:t>
      </w:r>
      <w:r>
        <w:rPr>
          <w:rFonts w:hint="eastAsia" w:ascii="宋体" w:hAnsi="宋体" w:eastAsia="宋体" w:cs="宋体"/>
          <w:sz w:val="28"/>
          <w:szCs w:val="28"/>
        </w:rPr>
        <w:t>平台，并实现应用级容灾保护，确保在</w:t>
      </w:r>
      <w:r>
        <w:rPr>
          <w:rFonts w:hint="eastAsia" w:ascii="宋体" w:hAnsi="宋体" w:eastAsia="宋体" w:cs="宋体"/>
          <w:sz w:val="28"/>
          <w:szCs w:val="28"/>
          <w:lang w:val="en-US" w:eastAsia="zh-CN"/>
        </w:rPr>
        <w:t>数据中心</w:t>
      </w:r>
      <w:r>
        <w:rPr>
          <w:rFonts w:hint="eastAsia" w:ascii="宋体" w:hAnsi="宋体" w:eastAsia="宋体" w:cs="宋体"/>
          <w:sz w:val="28"/>
          <w:szCs w:val="28"/>
        </w:rPr>
        <w:t>故障或灾难场景下，核心业务（含智慧医疗、智慧服务、智慧平台、智慧专科等）持续运行，满足医院 7×24 小时不间断医疗服务与数据实时访问需求。​</w:t>
      </w:r>
    </w:p>
    <w:p w14:paraId="4D568DCC">
      <w:pPr>
        <w:ind w:firstLine="560" w:firstLineChars="200"/>
        <w:rPr>
          <w:rFonts w:hint="eastAsia" w:ascii="宋体" w:hAnsi="宋体" w:eastAsia="宋体" w:cs="宋体"/>
          <w:sz w:val="28"/>
          <w:szCs w:val="28"/>
        </w:rPr>
      </w:pPr>
      <w:r>
        <w:rPr>
          <w:rFonts w:hint="eastAsia" w:ascii="宋体" w:hAnsi="宋体" w:eastAsia="宋体" w:cs="宋体"/>
          <w:sz w:val="28"/>
          <w:szCs w:val="28"/>
        </w:rPr>
        <w:t>2、快速业务接管：</w:t>
      </w:r>
      <w:r>
        <w:rPr>
          <w:rFonts w:hint="eastAsia" w:ascii="宋体" w:hAnsi="宋体" w:eastAsia="宋体" w:cs="宋体"/>
          <w:sz w:val="28"/>
          <w:szCs w:val="28"/>
          <w:lang w:val="en-US" w:eastAsia="zh-CN"/>
        </w:rPr>
        <w:t>一体化的容灾平台</w:t>
      </w:r>
      <w:r>
        <w:rPr>
          <w:rFonts w:hint="eastAsia" w:ascii="宋体" w:hAnsi="宋体" w:eastAsia="宋体" w:cs="宋体"/>
          <w:sz w:val="28"/>
          <w:szCs w:val="28"/>
        </w:rPr>
        <w:t>在发生故障时，可在10</w:t>
      </w:r>
      <w:r>
        <w:rPr>
          <w:rFonts w:hint="eastAsia" w:ascii="宋体" w:hAnsi="宋体" w:eastAsia="宋体" w:cs="宋体"/>
          <w:sz w:val="28"/>
          <w:szCs w:val="28"/>
          <w:lang w:val="en-US" w:eastAsia="zh-CN"/>
        </w:rPr>
        <w:t>-15</w:t>
      </w:r>
      <w:r>
        <w:rPr>
          <w:rFonts w:hint="eastAsia" w:ascii="宋体" w:hAnsi="宋体" w:eastAsia="宋体" w:cs="宋体"/>
          <w:sz w:val="28"/>
          <w:szCs w:val="28"/>
        </w:rPr>
        <w:t>分钟内完成核心业务系统的切换接管，恢复业务正常运行，其业务恢复时间（RTO）、数据恢复点目标（RPO）需优于三级甲等医院信息化建设相关标准要求。</w:t>
      </w:r>
    </w:p>
    <w:p w14:paraId="64AA291F">
      <w:pPr>
        <w:ind w:firstLine="560" w:firstLineChars="200"/>
        <w:rPr>
          <w:rFonts w:hint="eastAsia" w:ascii="宋体" w:hAnsi="宋体" w:eastAsia="宋体" w:cs="宋体"/>
          <w:sz w:val="28"/>
          <w:szCs w:val="28"/>
        </w:rPr>
      </w:pPr>
      <w:r>
        <w:rPr>
          <w:rFonts w:hint="eastAsia" w:ascii="宋体" w:hAnsi="宋体" w:eastAsia="宋体" w:cs="宋体"/>
          <w:sz w:val="28"/>
          <w:szCs w:val="28"/>
        </w:rPr>
        <w:t>3、统一监管与切换：构建一体化容灾环境监管与切换平台，实现对主备中心硬件设备、网络状态、数据同步情况的实时监控，提供便捷的运维操作界面，支持容灾策略管理与业务切换操作，提升运维效率与容灾响应规范性。</w:t>
      </w:r>
    </w:p>
    <w:p w14:paraId="2036E60C">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4、兼容性：可与我院现有信息化系统、硬件设备无缝对接，支持系统平滑升级，不影响现有业务正常运行。</w:t>
      </w:r>
    </w:p>
    <w:p w14:paraId="0A89B285">
      <w:pPr>
        <w:rPr>
          <w:rFonts w:hint="eastAsia" w:ascii="宋体" w:hAnsi="宋体" w:eastAsia="宋体" w:cs="宋体"/>
          <w:b/>
          <w:bCs/>
          <w:sz w:val="28"/>
          <w:szCs w:val="28"/>
        </w:rPr>
      </w:pPr>
      <w:r>
        <w:rPr>
          <w:rFonts w:hint="eastAsia" w:ascii="宋体" w:hAnsi="宋体" w:eastAsia="宋体" w:cs="宋体"/>
          <w:b/>
          <w:bCs/>
          <w:sz w:val="28"/>
          <w:szCs w:val="28"/>
        </w:rPr>
        <w:t>三、核心需求</w:t>
      </w:r>
    </w:p>
    <w:p w14:paraId="3AAEC113">
      <w:pPr>
        <w:adjustRightIn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1、本地及异地灾备平台须提供定时备份可实现RPO≤</w:t>
      </w:r>
      <w:r>
        <w:rPr>
          <w:rFonts w:hint="eastAsia" w:ascii="宋体" w:hAnsi="宋体" w:eastAsia="宋体" w:cs="宋体"/>
          <w:sz w:val="28"/>
          <w:szCs w:val="28"/>
          <w:lang w:val="en-US" w:eastAsia="zh-CN"/>
        </w:rPr>
        <w:t>1秒</w:t>
      </w:r>
      <w:r>
        <w:rPr>
          <w:rFonts w:hint="eastAsia" w:ascii="宋体" w:hAnsi="宋体" w:eastAsia="宋体" w:cs="宋体"/>
          <w:sz w:val="28"/>
          <w:szCs w:val="28"/>
        </w:rPr>
        <w:t>钟及RTO≤</w:t>
      </w:r>
      <w:r>
        <w:rPr>
          <w:rFonts w:hint="eastAsia" w:ascii="宋体" w:hAnsi="宋体" w:eastAsia="宋体" w:cs="宋体"/>
          <w:sz w:val="28"/>
          <w:szCs w:val="28"/>
          <w:lang w:val="en-US" w:eastAsia="zh-CN"/>
        </w:rPr>
        <w:t>5</w:t>
      </w:r>
      <w:r>
        <w:rPr>
          <w:rFonts w:hint="eastAsia" w:ascii="宋体" w:hAnsi="宋体" w:eastAsia="宋体" w:cs="宋体"/>
          <w:sz w:val="28"/>
          <w:szCs w:val="28"/>
        </w:rPr>
        <w:t>分钟即时接管、虚拟机本地及异地备份；功能要求在灾备管理平台界面中实现，包括数据保护、定时/实时/CDP、数据恢复/演练/归档、数据恢复/迁移备份。</w:t>
      </w:r>
    </w:p>
    <w:p w14:paraId="743E85A2">
      <w:pPr>
        <w:adjustRightInd w:val="0"/>
        <w:spacing w:line="360" w:lineRule="auto"/>
        <w:ind w:firstLine="560" w:firstLineChars="200"/>
        <w:jc w:val="left"/>
        <w:rPr>
          <w:rFonts w:hint="eastAsia" w:ascii="宋体" w:hAnsi="宋体" w:eastAsia="宋体" w:cs="宋体"/>
          <w:color w:val="000000"/>
          <w:sz w:val="28"/>
          <w:szCs w:val="28"/>
        </w:rPr>
      </w:pPr>
      <w:r>
        <w:rPr>
          <w:rFonts w:hint="eastAsia" w:ascii="宋体" w:hAnsi="宋体" w:eastAsia="宋体" w:cs="宋体"/>
          <w:sz w:val="28"/>
          <w:szCs w:val="28"/>
        </w:rPr>
        <w:t>2、需满足现</w:t>
      </w:r>
      <w:r>
        <w:rPr>
          <w:rFonts w:hint="eastAsia" w:ascii="宋体" w:hAnsi="宋体" w:eastAsia="宋体" w:cs="宋体"/>
          <w:color w:val="000000"/>
          <w:sz w:val="28"/>
          <w:szCs w:val="28"/>
        </w:rPr>
        <w:t>有环境下大容量、高性能备份存储的需求。</w:t>
      </w:r>
    </w:p>
    <w:p w14:paraId="1A5F90FD">
      <w:pPr>
        <w:adjustRightInd w:val="0"/>
        <w:spacing w:line="360" w:lineRule="auto"/>
        <w:ind w:firstLine="560" w:firstLineChars="200"/>
        <w:jc w:val="left"/>
        <w:rPr>
          <w:rFonts w:hint="eastAsia" w:ascii="宋体" w:hAnsi="宋体" w:eastAsia="宋体" w:cs="宋体"/>
          <w:color w:val="000000"/>
          <w:sz w:val="28"/>
          <w:szCs w:val="28"/>
        </w:rPr>
      </w:pPr>
      <w:r>
        <w:rPr>
          <w:rFonts w:hint="eastAsia" w:ascii="宋体" w:hAnsi="宋体" w:eastAsia="宋体" w:cs="宋体"/>
          <w:color w:val="000000"/>
          <w:sz w:val="28"/>
          <w:szCs w:val="28"/>
        </w:rPr>
        <w:t>3、灾备平台本地建设包括：本地备份空间、本地恢复演练接管计算资源冗余、交换设备冗余、备份存储介质等，低延时备份带宽等；灾备平台异地建设包括：异地备份空间、异地恢复演练接管计算资源冗余、交换设备冗余、备份存储介质等。</w:t>
      </w:r>
    </w:p>
    <w:p w14:paraId="75D2C60C">
      <w:pPr>
        <w:adjustRightIn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4、实现对变化的数据块进行增量备份，并能进行合成全备份，并能对应用进行小颗粒度恢复。</w:t>
      </w:r>
    </w:p>
    <w:p w14:paraId="53BC8B68">
      <w:pPr>
        <w:adjustRightIn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5、灾备平台可提供CDP实时持续数据保护，支持文件系统及相关应用连续数据复制保护，满足灾难备份的RPO/RTO要求，支持一对多，多对一模式。</w:t>
      </w:r>
    </w:p>
    <w:p w14:paraId="010EFB51">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、统一监管与切换平台：提供手动与自动切换模式，切换过程可追溯，确保切换成功率与业务连续性；支持容灾策略配置、备份任务管理、日志查询与分析等功能，简化运维操作流程。</w:t>
      </w:r>
    </w:p>
    <w:p w14:paraId="3EE6F3CC">
      <w:pPr>
        <w:adjustRightIn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、灾备平台支持提供自动恢复演练功能，通过制定恢复演练策略，无需备份管理员操作，自动完整恢复演练测试，可恢复到灾备演练平台的物理机、虚拟机，支持但不限于</w:t>
      </w:r>
      <w:r>
        <w:rPr>
          <w:rFonts w:hint="eastAsia" w:ascii="宋体" w:hAnsi="宋体" w:eastAsia="宋体" w:cs="宋体"/>
          <w:sz w:val="28"/>
          <w:szCs w:val="28"/>
          <w:lang w:val="en-US" w:eastAsia="zh-CN"/>
        </w:rPr>
        <w:t>以</w:t>
      </w:r>
      <w:r>
        <w:rPr>
          <w:rFonts w:hint="eastAsia" w:ascii="宋体" w:hAnsi="宋体" w:eastAsia="宋体" w:cs="宋体"/>
          <w:sz w:val="28"/>
          <w:szCs w:val="28"/>
        </w:rPr>
        <w:t>下数据类型：文件、虚拟机、Oracle、SQL Server。</w:t>
      </w:r>
    </w:p>
    <w:p w14:paraId="40E2B19F">
      <w:pPr>
        <w:adjustRightInd w:val="0"/>
        <w:spacing w:line="360" w:lineRule="auto"/>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val="en-US" w:eastAsia="zh-CN"/>
        </w:rPr>
        <w:t>8</w:t>
      </w:r>
      <w:r>
        <w:rPr>
          <w:rFonts w:hint="eastAsia" w:ascii="宋体" w:hAnsi="宋体" w:eastAsia="宋体" w:cs="宋体"/>
          <w:sz w:val="28"/>
          <w:szCs w:val="28"/>
        </w:rPr>
        <w:t>、</w:t>
      </w:r>
      <w:r>
        <w:rPr>
          <w:rFonts w:hint="eastAsia" w:ascii="宋体" w:hAnsi="宋体" w:eastAsia="宋体" w:cs="宋体"/>
          <w:sz w:val="28"/>
          <w:szCs w:val="28"/>
          <w:lang w:eastAsia="zh-CN"/>
        </w:rPr>
        <w:t>本项目提供不少于</w:t>
      </w:r>
      <w:r>
        <w:rPr>
          <w:rFonts w:hint="eastAsia" w:ascii="宋体" w:hAnsi="宋体" w:eastAsia="宋体" w:cs="宋体"/>
          <w:sz w:val="28"/>
          <w:szCs w:val="28"/>
          <w:lang w:val="en-US" w:eastAsia="zh-CN"/>
        </w:rPr>
        <w:t>3年的原厂质保服务，明确质保范围、响应时效（紧急故障≤10分钟响应、1小时内现场处理），提供质保期后各配件维修费用报价。</w:t>
      </w:r>
      <w:r>
        <w:rPr>
          <w:rFonts w:hint="eastAsia" w:ascii="宋体" w:hAnsi="宋体" w:eastAsia="宋体" w:cs="宋体"/>
          <w:sz w:val="28"/>
          <w:szCs w:val="28"/>
        </w:rPr>
        <w:t>在服务周期内提供全院信息系统及平台软硬件、灾备平台软硬件的数据安全巡检服务；7*24小时故障现场应急支撑服务；以及现场备份恢复演练服务，并提交数据恢复演练文档报告；提供常态化技术支持、系统巡检、漏洞修复、版本升级服务，每季度至少进行一次数据恢复验证，每年配合至少开展一次灾备演练</w:t>
      </w:r>
      <w:r>
        <w:rPr>
          <w:rFonts w:hint="eastAsia" w:ascii="宋体" w:hAnsi="宋体" w:eastAsia="宋体" w:cs="宋体"/>
          <w:sz w:val="28"/>
          <w:szCs w:val="28"/>
          <w:lang w:eastAsia="zh-CN"/>
        </w:rPr>
        <w:t>。</w:t>
      </w:r>
    </w:p>
    <w:p w14:paraId="722B2820">
      <w:pPr>
        <w:adjustRightIn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w:t>
      </w:r>
      <w:r>
        <w:rPr>
          <w:rFonts w:hint="eastAsia" w:ascii="宋体" w:hAnsi="宋体" w:eastAsia="宋体" w:cs="宋体"/>
          <w:sz w:val="28"/>
          <w:szCs w:val="28"/>
        </w:rPr>
        <w:t>建设过程需遵循《信息系统灾难恢复规范》（GB/T 20988-2007）、《信息技术设备的安全》（GB4943-2011）</w:t>
      </w:r>
      <w:r>
        <w:rPr>
          <w:rFonts w:hint="eastAsia" w:ascii="宋体" w:hAnsi="宋体" w:eastAsia="宋体" w:cs="宋体"/>
          <w:sz w:val="28"/>
          <w:szCs w:val="28"/>
          <w:lang w:eastAsia="zh-CN"/>
        </w:rPr>
        <w:t>、</w:t>
      </w:r>
      <w:r>
        <w:rPr>
          <w:rFonts w:hint="eastAsia" w:ascii="宋体" w:hAnsi="宋体" w:eastAsia="宋体" w:cs="宋体"/>
          <w:color w:val="000000"/>
          <w:sz w:val="28"/>
          <w:szCs w:val="28"/>
          <w:lang w:val="en-US" w:eastAsia="zh-CN"/>
        </w:rPr>
        <w:t>《全国医院信息化建设标准与规范（试行）》、</w:t>
      </w:r>
      <w:r>
        <w:rPr>
          <w:rFonts w:hint="eastAsia" w:ascii="宋体" w:hAnsi="宋体" w:eastAsia="宋体" w:cs="宋体"/>
          <w:sz w:val="28"/>
          <w:szCs w:val="28"/>
          <w:lang w:val="en-US" w:eastAsia="zh-CN"/>
        </w:rPr>
        <w:t>等保2.0相关指标</w:t>
      </w:r>
      <w:r>
        <w:rPr>
          <w:rFonts w:hint="eastAsia" w:ascii="宋体" w:hAnsi="宋体" w:eastAsia="宋体" w:cs="宋体"/>
          <w:sz w:val="28"/>
          <w:szCs w:val="28"/>
        </w:rPr>
        <w:t>等国家标准及相关国际标准，坚持技术先进性、高可靠性、可管理性与可扩充性原则。</w:t>
      </w:r>
    </w:p>
    <w:p w14:paraId="4A6BDEAB">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10</w:t>
      </w:r>
      <w:r>
        <w:rPr>
          <w:rFonts w:hint="eastAsia" w:ascii="宋体" w:hAnsi="宋体" w:eastAsia="宋体" w:cs="宋体"/>
          <w:sz w:val="28"/>
          <w:szCs w:val="28"/>
        </w:rPr>
        <w:t>、提供详细的项目实施方案，包括部署周期、数据迁移方案、人员培训计划，确保部署过程不中断医院核心业务。</w:t>
      </w:r>
    </w:p>
    <w:p w14:paraId="600729E0">
      <w:p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eastAsia="zh-CN"/>
        </w:rPr>
        <w:t>四、技术参数及报价单</w:t>
      </w:r>
      <w:bookmarkStart w:id="0" w:name="_GoBack"/>
      <w:bookmarkEnd w:id="0"/>
    </w:p>
    <w:tbl>
      <w:tblPr>
        <w:tblStyle w:val="8"/>
        <w:tblW w:w="9682" w:type="dxa"/>
        <w:tblInd w:w="84" w:type="dxa"/>
        <w:tblLayout w:type="fixed"/>
        <w:tblCellMar>
          <w:top w:w="0" w:type="dxa"/>
          <w:left w:w="108" w:type="dxa"/>
          <w:bottom w:w="0" w:type="dxa"/>
          <w:right w:w="108" w:type="dxa"/>
        </w:tblCellMar>
      </w:tblPr>
      <w:tblGrid>
        <w:gridCol w:w="570"/>
        <w:gridCol w:w="1185"/>
        <w:gridCol w:w="660"/>
        <w:gridCol w:w="5017"/>
        <w:gridCol w:w="720"/>
        <w:gridCol w:w="705"/>
        <w:gridCol w:w="825"/>
      </w:tblGrid>
      <w:tr w14:paraId="4D5BA3D8">
        <w:tblPrEx>
          <w:tblCellMar>
            <w:top w:w="0" w:type="dxa"/>
            <w:left w:w="108" w:type="dxa"/>
            <w:bottom w:w="0" w:type="dxa"/>
            <w:right w:w="108" w:type="dxa"/>
          </w:tblCellMar>
        </w:tblPrEx>
        <w:trPr>
          <w:trHeight w:val="9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F756">
            <w:pPr>
              <w:jc w:val="center"/>
              <w:rPr>
                <w:rFonts w:hint="eastAsia"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项号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3DC4">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设备名称</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FBAB">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品牌</w:t>
            </w:r>
          </w:p>
        </w:tc>
        <w:tc>
          <w:tcPr>
            <w:tcW w:w="5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DED1">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配置描述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6764">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数量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9A8C">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单价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A0300">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合计</w:t>
            </w:r>
          </w:p>
        </w:tc>
      </w:tr>
      <w:tr w14:paraId="14B115BD">
        <w:tblPrEx>
          <w:tblCellMar>
            <w:top w:w="0" w:type="dxa"/>
            <w:left w:w="108" w:type="dxa"/>
            <w:bottom w:w="0" w:type="dxa"/>
            <w:right w:w="108" w:type="dxa"/>
          </w:tblCellMar>
        </w:tblPrEx>
        <w:trPr>
          <w:trHeight w:val="9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4A01">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kern w:val="0"/>
                <w:szCs w:val="21"/>
                <w:lang w:val="en-US" w:eastAsia="zh-CN" w:bidi="ar"/>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7E929">
            <w:pPr>
              <w:widowControl/>
              <w:jc w:val="center"/>
              <w:textAlignment w:val="center"/>
              <w:rPr>
                <w:rFonts w:hint="default" w:ascii="宋体" w:hAnsi="宋体" w:eastAsia="宋体" w:cs="宋体"/>
                <w:color w:val="000000"/>
                <w:szCs w:val="21"/>
                <w:lang w:val="en-US" w:eastAsia="zh-CN"/>
              </w:rPr>
            </w:pPr>
            <w:r>
              <w:rPr>
                <w:rFonts w:hint="eastAsia" w:ascii="宋体" w:hAnsi="宋体" w:eastAsia="宋体" w:cs="宋体"/>
                <w:color w:val="000000"/>
                <w:szCs w:val="21"/>
              </w:rPr>
              <w:t>容灾</w:t>
            </w:r>
            <w:r>
              <w:rPr>
                <w:rFonts w:hint="eastAsia" w:ascii="宋体" w:hAnsi="宋体" w:eastAsia="宋体" w:cs="宋体"/>
                <w:color w:val="000000"/>
                <w:szCs w:val="21"/>
                <w:lang w:val="en-US" w:eastAsia="zh-CN"/>
              </w:rPr>
              <w:t>一体化平台</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A521">
            <w:pPr>
              <w:widowControl/>
              <w:jc w:val="center"/>
              <w:textAlignment w:val="center"/>
              <w:rPr>
                <w:rFonts w:hint="eastAsia" w:ascii="宋体" w:hAnsi="宋体" w:eastAsia="宋体" w:cs="宋体"/>
                <w:color w:val="000000"/>
                <w:szCs w:val="21"/>
                <w:lang w:val="en-US" w:eastAsia="zh-CN"/>
              </w:rPr>
            </w:pPr>
          </w:p>
        </w:tc>
        <w:tc>
          <w:tcPr>
            <w:tcW w:w="5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90FF">
            <w:pPr>
              <w:pStyle w:val="15"/>
              <w:widowControl/>
              <w:numPr>
                <w:ilvl w:val="0"/>
                <w:numId w:val="0"/>
              </w:numPr>
              <w:ind w:leftChars="0"/>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1、</w:t>
            </w:r>
            <w:r>
              <w:rPr>
                <w:rFonts w:hint="eastAsia" w:ascii="宋体" w:hAnsi="宋体" w:eastAsia="宋体" w:cs="宋体"/>
                <w:color w:val="000000" w:themeColor="text1"/>
                <w:kern w:val="0"/>
                <w:szCs w:val="21"/>
                <w:lang w:eastAsia="zh-CN" w:bidi="ar"/>
                <w14:textFill>
                  <w14:solidFill>
                    <w14:schemeClr w14:val="tx1"/>
                  </w14:solidFill>
                </w14:textFill>
              </w:rPr>
              <w:t>配置：≥12盘位机架式设备，≥</w:t>
            </w:r>
            <w:r>
              <w:rPr>
                <w:rFonts w:hint="eastAsia" w:ascii="宋体" w:hAnsi="宋体" w:eastAsia="宋体" w:cs="宋体"/>
                <w:color w:val="000000" w:themeColor="text1"/>
                <w:kern w:val="0"/>
                <w:szCs w:val="21"/>
                <w:lang w:val="en-US" w:eastAsia="zh-CN" w:bidi="ar"/>
                <w14:textFill>
                  <w14:solidFill>
                    <w14:schemeClr w14:val="tx1"/>
                  </w14:solidFill>
                </w14:textFill>
              </w:rPr>
              <w:t>24</w:t>
            </w:r>
            <w:r>
              <w:rPr>
                <w:rFonts w:hint="eastAsia" w:ascii="宋体" w:hAnsi="宋体" w:eastAsia="宋体" w:cs="宋体"/>
                <w:color w:val="000000" w:themeColor="text1"/>
                <w:kern w:val="0"/>
                <w:szCs w:val="21"/>
                <w:lang w:eastAsia="zh-CN" w:bidi="ar"/>
                <w14:textFill>
                  <w14:solidFill>
                    <w14:schemeClr w14:val="tx1"/>
                  </w14:solidFill>
                </w14:textFill>
              </w:rPr>
              <w:t>核处理器，≥</w:t>
            </w:r>
            <w:r>
              <w:rPr>
                <w:rFonts w:hint="eastAsia" w:ascii="宋体" w:hAnsi="宋体" w:eastAsia="宋体" w:cs="宋体"/>
                <w:color w:val="000000" w:themeColor="text1"/>
                <w:kern w:val="0"/>
                <w:szCs w:val="21"/>
                <w:lang w:val="en-US" w:eastAsia="zh-CN" w:bidi="ar"/>
                <w14:textFill>
                  <w14:solidFill>
                    <w14:schemeClr w14:val="tx1"/>
                  </w14:solidFill>
                </w14:textFill>
              </w:rPr>
              <w:t>640G</w:t>
            </w:r>
            <w:r>
              <w:rPr>
                <w:rFonts w:hint="eastAsia" w:ascii="宋体" w:hAnsi="宋体" w:eastAsia="宋体" w:cs="宋体"/>
                <w:color w:val="000000" w:themeColor="text1"/>
                <w:kern w:val="0"/>
                <w:szCs w:val="21"/>
                <w:lang w:eastAsia="zh-CN" w:bidi="ar"/>
                <w14:textFill>
                  <w14:solidFill>
                    <w14:schemeClr w14:val="tx1"/>
                  </w14:solidFill>
                </w14:textFill>
              </w:rPr>
              <w:t>B ECC DDR4内存，≥2块480GB SSD硬盘，≥</w:t>
            </w:r>
            <w:r>
              <w:rPr>
                <w:rFonts w:hint="eastAsia" w:ascii="宋体" w:hAnsi="宋体" w:eastAsia="宋体" w:cs="宋体"/>
                <w:color w:val="000000" w:themeColor="text1"/>
                <w:kern w:val="0"/>
                <w:szCs w:val="21"/>
                <w:lang w:val="en-US" w:eastAsia="zh-CN" w:bidi="ar"/>
                <w14:textFill>
                  <w14:solidFill>
                    <w14:schemeClr w14:val="tx1"/>
                  </w14:solidFill>
                </w14:textFill>
              </w:rPr>
              <w:t>4</w:t>
            </w:r>
            <w:r>
              <w:rPr>
                <w:rFonts w:hint="eastAsia" w:ascii="宋体" w:hAnsi="宋体" w:eastAsia="宋体" w:cs="宋体"/>
                <w:color w:val="000000" w:themeColor="text1"/>
                <w:kern w:val="0"/>
                <w:szCs w:val="21"/>
                <w:lang w:eastAsia="zh-CN" w:bidi="ar"/>
                <w14:textFill>
                  <w14:solidFill>
                    <w14:schemeClr w14:val="tx1"/>
                  </w14:solidFill>
                </w14:textFill>
              </w:rPr>
              <w:t>块</w:t>
            </w:r>
            <w:r>
              <w:rPr>
                <w:rFonts w:hint="eastAsia" w:ascii="宋体" w:hAnsi="宋体" w:eastAsia="宋体" w:cs="宋体"/>
                <w:color w:val="000000" w:themeColor="text1"/>
                <w:kern w:val="0"/>
                <w:szCs w:val="21"/>
                <w:lang w:val="en-US" w:eastAsia="zh-CN" w:bidi="ar"/>
                <w14:textFill>
                  <w14:solidFill>
                    <w14:schemeClr w14:val="tx1"/>
                  </w14:solidFill>
                </w14:textFill>
              </w:rPr>
              <w:t>16</w:t>
            </w:r>
            <w:r>
              <w:rPr>
                <w:rFonts w:hint="eastAsia" w:ascii="宋体" w:hAnsi="宋体" w:eastAsia="宋体" w:cs="宋体"/>
                <w:color w:val="000000" w:themeColor="text1"/>
                <w:kern w:val="0"/>
                <w:szCs w:val="21"/>
                <w:lang w:eastAsia="zh-CN" w:bidi="ar"/>
                <w14:textFill>
                  <w14:solidFill>
                    <w14:schemeClr w14:val="tx1"/>
                  </w14:solidFill>
                </w14:textFill>
              </w:rPr>
              <w:t>TB 企业级 SATA硬盘，≥2个1Gbps以太网主机接口，4个10Gb 以太网主机接口（光口），热插拔冗余电源；</w:t>
            </w:r>
          </w:p>
          <w:p w14:paraId="3A040727">
            <w:pPr>
              <w:pStyle w:val="15"/>
              <w:widowControl/>
              <w:numPr>
                <w:ilvl w:val="0"/>
                <w:numId w:val="0"/>
              </w:numPr>
              <w:ind w:leftChars="0"/>
              <w:textAlignment w:val="center"/>
              <w:rPr>
                <w:rFonts w:hint="eastAsia" w:ascii="宋体" w:hAnsi="宋体" w:eastAsia="宋体" w:cs="宋体"/>
                <w:color w:val="auto"/>
                <w:kern w:val="0"/>
                <w:szCs w:val="21"/>
                <w:lang w:eastAsia="zh-CN" w:bidi="ar"/>
              </w:rPr>
            </w:pPr>
            <w:r>
              <w:rPr>
                <w:rFonts w:hint="eastAsia" w:ascii="宋体" w:hAnsi="宋体" w:cs="Arial Unicode MS"/>
                <w:color w:val="000000" w:themeColor="text1"/>
                <w:szCs w:val="21"/>
                <w:u w:color="000000"/>
                <w:lang w:val="en-US" w:eastAsia="zh-CN"/>
                <w14:textFill>
                  <w14:solidFill>
                    <w14:schemeClr w14:val="tx1"/>
                  </w14:solidFill>
                </w14:textFill>
              </w:rPr>
              <w:t>2、</w:t>
            </w:r>
            <w:r>
              <w:rPr>
                <w:rFonts w:hint="eastAsia" w:ascii="宋体" w:hAnsi="宋体" w:cs="Arial Unicode MS"/>
                <w:color w:val="000000" w:themeColor="text1"/>
                <w:szCs w:val="21"/>
                <w:u w:color="000000"/>
                <w14:textFill>
                  <w14:solidFill>
                    <w14:schemeClr w14:val="tx1"/>
                  </w14:solidFill>
                </w14:textFill>
              </w:rPr>
              <w:t>本次配置Window/Linux整机实时块级</w:t>
            </w:r>
            <w:r>
              <w:rPr>
                <w:rFonts w:ascii="宋体" w:hAnsi="宋体" w:cs="Arial Unicode MS"/>
                <w:color w:val="000000" w:themeColor="text1"/>
                <w:szCs w:val="21"/>
                <w:u w:color="000000"/>
                <w14:textFill>
                  <w14:solidFill>
                    <w14:schemeClr w14:val="tx1"/>
                  </w14:solidFill>
                </w14:textFill>
              </w:rPr>
              <w:t>保护</w:t>
            </w:r>
            <w:r>
              <w:rPr>
                <w:rFonts w:hint="eastAsia" w:ascii="宋体" w:hAnsi="宋体" w:cs="Arial Unicode MS"/>
                <w:color w:val="000000" w:themeColor="text1"/>
                <w:szCs w:val="21"/>
                <w:u w:color="000000"/>
                <w14:textFill>
                  <w14:solidFill>
                    <w14:schemeClr w14:val="tx1"/>
                  </w14:solidFill>
                </w14:textFill>
              </w:rPr>
              <w:t>授权许可及接管许可，含实时与定时数据备份功能模块，提供≥</w:t>
            </w:r>
            <w:r>
              <w:rPr>
                <w:rFonts w:hint="eastAsia" w:ascii="宋体" w:hAnsi="宋体" w:cs="Arial Unicode MS"/>
                <w:color w:val="000000" w:themeColor="text1"/>
                <w:szCs w:val="21"/>
                <w:u w:color="000000"/>
                <w:lang w:val="en-US" w:eastAsia="zh-CN"/>
                <w14:textFill>
                  <w14:solidFill>
                    <w14:schemeClr w14:val="tx1"/>
                  </w14:solidFill>
                </w14:textFill>
              </w:rPr>
              <w:t>4</w:t>
            </w:r>
            <w:r>
              <w:rPr>
                <w:rFonts w:hint="eastAsia" w:ascii="宋体" w:hAnsi="宋体" w:cs="Arial Unicode MS"/>
                <w:b/>
                <w:color w:val="000000" w:themeColor="text1"/>
                <w:szCs w:val="21"/>
                <w:u w:color="000000"/>
                <w:lang w:val="en-US" w:eastAsia="zh-CN"/>
                <w14:textFill>
                  <w14:solidFill>
                    <w14:schemeClr w14:val="tx1"/>
                  </w14:solidFill>
                </w14:textFill>
              </w:rPr>
              <w:t>0</w:t>
            </w:r>
            <w:r>
              <w:rPr>
                <w:rFonts w:hint="eastAsia" w:ascii="宋体" w:hAnsi="宋体" w:cs="Arial Unicode MS"/>
                <w:b/>
                <w:color w:val="000000" w:themeColor="text1"/>
                <w:szCs w:val="21"/>
                <w:u w:color="000000"/>
                <w14:textFill>
                  <w14:solidFill>
                    <w14:schemeClr w14:val="tx1"/>
                  </w14:solidFill>
                </w14:textFill>
              </w:rPr>
              <w:t>TB</w:t>
            </w:r>
            <w:r>
              <w:rPr>
                <w:rFonts w:hint="eastAsia" w:ascii="宋体" w:hAnsi="宋体" w:cs="Arial Unicode MS"/>
                <w:color w:val="000000" w:themeColor="text1"/>
                <w:szCs w:val="21"/>
                <w:u w:color="000000"/>
                <w14:textFill>
                  <w14:solidFill>
                    <w14:schemeClr w14:val="tx1"/>
                  </w14:solidFill>
                </w14:textFill>
              </w:rPr>
              <w:t>容灾保护容量授权，</w:t>
            </w:r>
            <w:r>
              <w:rPr>
                <w:rFonts w:hint="eastAsia" w:ascii="宋体" w:hAnsi="宋体" w:cs="Arial Unicode MS"/>
                <w:color w:val="000000" w:themeColor="text1"/>
                <w:szCs w:val="21"/>
                <w:u w:color="000000"/>
                <w:lang w:val="en-US" w:eastAsia="zh-CN"/>
                <w14:textFill>
                  <w14:solidFill>
                    <w14:schemeClr w14:val="tx1"/>
                  </w14:solidFill>
                </w14:textFill>
              </w:rPr>
              <w:t>不限</w:t>
            </w:r>
            <w:r>
              <w:rPr>
                <w:rFonts w:hint="eastAsia" w:ascii="宋体" w:hAnsi="宋体" w:cs="Arial Unicode MS"/>
                <w:color w:val="000000" w:themeColor="text1"/>
                <w:szCs w:val="21"/>
                <w:u w:color="000000"/>
                <w14:textFill>
                  <w14:solidFill>
                    <w14:schemeClr w14:val="tx1"/>
                  </w14:solidFill>
                </w14:textFill>
              </w:rPr>
              <w:t>主</w:t>
            </w:r>
            <w:r>
              <w:rPr>
                <w:rFonts w:hint="eastAsia" w:ascii="宋体" w:hAnsi="宋体" w:cs="Arial Unicode MS"/>
                <w:szCs w:val="21"/>
                <w:u w:color="000000"/>
              </w:rPr>
              <w:t>机C</w:t>
            </w:r>
            <w:r>
              <w:rPr>
                <w:rFonts w:ascii="宋体" w:hAnsi="宋体" w:cs="Arial Unicode MS"/>
                <w:szCs w:val="21"/>
                <w:u w:color="000000"/>
              </w:rPr>
              <w:t>DP</w:t>
            </w:r>
            <w:r>
              <w:rPr>
                <w:rFonts w:hint="eastAsia" w:ascii="宋体" w:hAnsi="宋体" w:cs="Arial Unicode MS"/>
                <w:szCs w:val="21"/>
                <w:u w:color="000000"/>
              </w:rPr>
              <w:t>授权许可，</w:t>
            </w:r>
            <w:r>
              <w:rPr>
                <w:rFonts w:hint="eastAsia" w:ascii="宋体" w:hAnsi="宋体" w:cs="Arial Unicode MS"/>
                <w:szCs w:val="21"/>
                <w:u w:color="000000"/>
                <w:lang w:val="en-US" w:eastAsia="zh-CN"/>
              </w:rPr>
              <w:t>不限</w:t>
            </w:r>
            <w:r>
              <w:rPr>
                <w:rFonts w:hint="eastAsia" w:ascii="宋体" w:hAnsi="宋体" w:cs="Arial Unicode MS"/>
                <w:szCs w:val="21"/>
                <w:u w:color="000000"/>
              </w:rPr>
              <w:t>主机备份授权许可，</w:t>
            </w:r>
            <w:r>
              <w:rPr>
                <w:rFonts w:hint="eastAsia" w:ascii="宋体" w:hAnsi="宋体" w:cs="Arial Unicode MS"/>
                <w:szCs w:val="21"/>
                <w:u w:color="000000"/>
                <w:lang w:val="en-US" w:eastAsia="zh-CN"/>
              </w:rPr>
              <w:t>不限</w:t>
            </w:r>
            <w:r>
              <w:rPr>
                <w:rFonts w:hint="eastAsia" w:ascii="宋体" w:hAnsi="宋体" w:cs="Arial Unicode MS"/>
                <w:szCs w:val="21"/>
                <w:u w:color="000000"/>
              </w:rPr>
              <w:t>CDP验证主机许可，</w:t>
            </w:r>
            <w:r>
              <w:rPr>
                <w:rFonts w:hint="eastAsia" w:ascii="宋体" w:hAnsi="宋体" w:cs="Arial Unicode MS"/>
                <w:szCs w:val="21"/>
                <w:u w:color="000000"/>
                <w:lang w:val="en-US" w:eastAsia="zh-CN"/>
              </w:rPr>
              <w:t>不限</w:t>
            </w:r>
            <w:r>
              <w:rPr>
                <w:rFonts w:hint="eastAsia" w:ascii="宋体" w:hAnsi="宋体" w:cs="Arial Unicode MS"/>
                <w:szCs w:val="21"/>
                <w:u w:color="000000"/>
              </w:rPr>
              <w:t>接管主机许可。</w:t>
            </w:r>
            <w:r>
              <w:rPr>
                <w:rFonts w:hint="eastAsia" w:ascii="宋体" w:hAnsi="宋体" w:eastAsia="宋体" w:cs="宋体"/>
                <w:color w:val="auto"/>
                <w:kern w:val="0"/>
                <w:szCs w:val="21"/>
                <w:lang w:bidi="ar"/>
              </w:rPr>
              <w:t>不限制数量的Oracle RAC、MSCS等集群架构的连续数据保护与应急接管功能</w:t>
            </w:r>
            <w:r>
              <w:rPr>
                <w:rFonts w:hint="eastAsia" w:ascii="宋体" w:hAnsi="宋体" w:eastAsia="宋体" w:cs="宋体"/>
                <w:color w:val="auto"/>
                <w:kern w:val="0"/>
                <w:szCs w:val="21"/>
                <w:lang w:eastAsia="zh-CN" w:bidi="ar"/>
              </w:rPr>
              <w:t>；</w:t>
            </w:r>
          </w:p>
          <w:p w14:paraId="51177B46">
            <w:pPr>
              <w:pStyle w:val="15"/>
              <w:widowControl/>
              <w:numPr>
                <w:ilvl w:val="0"/>
                <w:numId w:val="0"/>
              </w:numPr>
              <w:ind w:leftChars="0"/>
              <w:textAlignment w:val="center"/>
              <w:rPr>
                <w:rFonts w:hint="eastAsia" w:ascii="宋体" w:hAnsi="宋体" w:eastAsia="宋体" w:cs="宋体"/>
                <w:color w:val="auto"/>
                <w:kern w:val="0"/>
                <w:szCs w:val="21"/>
                <w:lang w:bidi="ar"/>
              </w:rPr>
            </w:pPr>
            <w:r>
              <w:rPr>
                <w:rFonts w:hint="eastAsia" w:ascii="宋体" w:hAnsi="宋体" w:cs="Arial Unicode MS"/>
                <w:szCs w:val="21"/>
                <w:u w:color="000000"/>
                <w:lang w:val="en-US" w:eastAsia="zh-CN"/>
              </w:rPr>
              <w:t>3、</w:t>
            </w:r>
            <w:r>
              <w:rPr>
                <w:rFonts w:hint="eastAsia" w:ascii="宋体" w:hAnsi="宋体" w:cs="Arial Unicode MS"/>
                <w:szCs w:val="21"/>
                <w:u w:color="000000"/>
              </w:rPr>
              <w:t>提供毫秒级（最小颗粒度为1毫秒）CDP连续数据保护功能，具备对X86主机、虚拟机和云主机的CDP连续数据保护功能具备对鲲鹏、海光、合芯等国产化架构主机、虚拟机和云主机的连续数据保护功能（提供至少三家国产芯片兼容性认证证书）。实时记录磁盘I/O变化（非字节级IO），可对整机、磁盘和分区数据保护，不需区分业务系统的类型、部署方法、业务系统间的数据交互机制、数据结构/逻辑关系和数据库的品牌/版本等。</w:t>
            </w:r>
            <w:r>
              <w:rPr>
                <w:rFonts w:hint="eastAsia" w:ascii="宋体" w:hAnsi="宋体" w:eastAsia="宋体" w:cs="宋体"/>
                <w:color w:val="auto"/>
                <w:kern w:val="0"/>
                <w:szCs w:val="21"/>
                <w:lang w:bidi="ar"/>
              </w:rPr>
              <w:t>支持集群接管功能，对于任一保护对象，可以通过容灾集群的任何一个节点进行接管，动态分配接管资源；</w:t>
            </w:r>
          </w:p>
          <w:p w14:paraId="3C15B91D">
            <w:pPr>
              <w:pStyle w:val="15"/>
              <w:widowControl/>
              <w:numPr>
                <w:ilvl w:val="0"/>
                <w:numId w:val="0"/>
              </w:numPr>
              <w:ind w:leftChars="0"/>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val="en-US" w:eastAsia="zh-CN" w:bidi="ar"/>
              </w:rPr>
              <w:t>4、</w:t>
            </w:r>
            <w:r>
              <w:rPr>
                <w:rFonts w:hint="eastAsia" w:ascii="宋体" w:hAnsi="宋体" w:eastAsia="宋体" w:cs="宋体"/>
                <w:color w:val="auto"/>
                <w:kern w:val="0"/>
                <w:szCs w:val="21"/>
                <w:lang w:bidi="ar"/>
              </w:rPr>
              <w:t>提供硬件</w:t>
            </w:r>
            <w:r>
              <w:rPr>
                <w:rFonts w:hint="eastAsia" w:ascii="宋体" w:hAnsi="宋体" w:eastAsia="宋体" w:cs="宋体"/>
                <w:color w:val="auto"/>
                <w:kern w:val="0"/>
                <w:szCs w:val="21"/>
                <w:lang w:val="en-US" w:eastAsia="zh-CN" w:bidi="ar"/>
              </w:rPr>
              <w:t>/逻辑</w:t>
            </w:r>
            <w:r>
              <w:rPr>
                <w:rFonts w:hint="eastAsia" w:ascii="宋体" w:hAnsi="宋体" w:eastAsia="宋体" w:cs="宋体"/>
                <w:color w:val="auto"/>
                <w:kern w:val="0"/>
                <w:szCs w:val="21"/>
                <w:lang w:bidi="ar"/>
              </w:rPr>
              <w:t>故障应急接管功能，提供选择任意历史时间点进行应急接管，提供在≤15分钟完成医院业务系统故障时应急接管（包含容器集群、数据库集群等类型架构）的接管，提供应急接管计算资源弹性适配功能，正常保护过程中可以创建应急接管主机，处于不启用状态，实际不占用计算资源。仅在启动接管时占用资源，计算资源手动或自动适配生产端负载，确保正常接管业务运行</w:t>
            </w:r>
            <w:r>
              <w:rPr>
                <w:rFonts w:hint="eastAsia" w:ascii="宋体" w:hAnsi="宋体" w:eastAsia="宋体" w:cs="宋体"/>
                <w:color w:val="auto"/>
                <w:kern w:val="0"/>
                <w:szCs w:val="21"/>
                <w:lang w:eastAsia="zh-CN" w:bidi="ar"/>
              </w:rPr>
              <w:t>；</w:t>
            </w:r>
          </w:p>
          <w:p w14:paraId="59B02C40">
            <w:pPr>
              <w:pStyle w:val="15"/>
              <w:widowControl/>
              <w:numPr>
                <w:ilvl w:val="0"/>
                <w:numId w:val="0"/>
              </w:numPr>
              <w:ind w:leftChars="0"/>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val="en-US" w:eastAsia="zh-CN" w:bidi="ar"/>
              </w:rPr>
              <w:t>5、</w:t>
            </w:r>
            <w:r>
              <w:rPr>
                <w:rFonts w:hint="eastAsia" w:ascii="宋体" w:hAnsi="宋体" w:eastAsia="宋体" w:cs="宋体"/>
                <w:color w:val="auto"/>
                <w:kern w:val="0"/>
                <w:szCs w:val="21"/>
                <w:lang w:bidi="ar"/>
              </w:rPr>
              <w:t>支持扩展手机端独立APP程序管理，通过APP可随时查看容灾系统运行报告，详细告知系统和业务潜在的风险和运行状态，展示业务系统保护状态，显示备份任务数据最新时间点动态；出现保护中断、容量告警、违规操作等安全事件时，可以发送通知到手机端APP</w:t>
            </w:r>
            <w:r>
              <w:rPr>
                <w:rFonts w:hint="eastAsia" w:ascii="宋体" w:hAnsi="宋体" w:eastAsia="宋体" w:cs="宋体"/>
                <w:color w:val="auto"/>
                <w:kern w:val="0"/>
                <w:szCs w:val="21"/>
                <w:lang w:eastAsia="zh-CN" w:bidi="ar"/>
              </w:rPr>
              <w:t>；</w:t>
            </w:r>
          </w:p>
          <w:p w14:paraId="46C9FA65">
            <w:pPr>
              <w:pStyle w:val="15"/>
              <w:widowControl/>
              <w:numPr>
                <w:ilvl w:val="0"/>
                <w:numId w:val="0"/>
              </w:numPr>
              <w:ind w:leftChars="0"/>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val="en-US" w:eastAsia="zh-CN" w:bidi="ar"/>
              </w:rPr>
              <w:t>6、</w:t>
            </w:r>
            <w:r>
              <w:rPr>
                <w:rFonts w:hint="eastAsia" w:ascii="宋体" w:hAnsi="宋体" w:eastAsia="宋体" w:cs="宋体"/>
                <w:color w:val="auto"/>
                <w:kern w:val="0"/>
                <w:szCs w:val="21"/>
                <w:lang w:bidi="ar"/>
              </w:rPr>
              <w:t>提供原厂商三年硬件，三年软件质保服务，包括业务系统变更、新增等备份与业务恢复等技术支持服务。提供高级服务，包含 7*24 小时远程支持、下一工作日现场支持、备份变更、新增等配置服务、补丁更新及软件升级服务。提供一年4次原厂技术巡检服务，并提供巡检报告，货时必须提供针对此次项目并加盖生产厂家商公章的生产厂家售后服务承诺函和供货证明原件，产品为自主研发产品，非OEM。</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80A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D4F2">
            <w:pPr>
              <w:widowControl/>
              <w:jc w:val="center"/>
              <w:textAlignment w:val="center"/>
              <w:rPr>
                <w:rFonts w:hint="default" w:ascii="宋体" w:hAnsi="宋体" w:eastAsia="宋体" w:cs="宋体"/>
                <w:color w:val="000000"/>
                <w:szCs w:val="21"/>
                <w:lang w:val="en-US" w:eastAsia="zh-CN"/>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4EED">
            <w:pPr>
              <w:widowControl/>
              <w:jc w:val="center"/>
              <w:textAlignment w:val="center"/>
              <w:rPr>
                <w:rFonts w:hint="default" w:ascii="宋体" w:hAnsi="宋体" w:eastAsia="宋体" w:cs="宋体"/>
                <w:color w:val="000000"/>
                <w:szCs w:val="21"/>
                <w:lang w:val="en-US" w:eastAsia="zh-CN"/>
              </w:rPr>
            </w:pPr>
          </w:p>
        </w:tc>
      </w:tr>
      <w:tr w14:paraId="6B7A511C">
        <w:tblPrEx>
          <w:tblCellMar>
            <w:top w:w="0" w:type="dxa"/>
            <w:left w:w="108" w:type="dxa"/>
            <w:bottom w:w="0" w:type="dxa"/>
            <w:right w:w="108" w:type="dxa"/>
          </w:tblCellMar>
        </w:tblPrEx>
        <w:trPr>
          <w:trHeight w:val="9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1435E">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2</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296D">
            <w:pPr>
              <w:widowControl/>
              <w:jc w:val="center"/>
              <w:textAlignment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业务编排流程平台</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516F">
            <w:pPr>
              <w:widowControl/>
              <w:jc w:val="center"/>
              <w:textAlignment w:val="center"/>
              <w:rPr>
                <w:rFonts w:hint="eastAsia" w:ascii="宋体" w:hAnsi="宋体" w:eastAsia="宋体" w:cs="宋体"/>
                <w:color w:val="000000"/>
                <w:szCs w:val="21"/>
              </w:rPr>
            </w:pPr>
          </w:p>
        </w:tc>
        <w:tc>
          <w:tcPr>
            <w:tcW w:w="5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5994">
            <w:pPr>
              <w:pStyle w:val="15"/>
              <w:widowControl/>
              <w:numPr>
                <w:ilvl w:val="0"/>
                <w:numId w:val="0"/>
              </w:numPr>
              <w:ind w:leftChars="0"/>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val="en-US" w:eastAsia="zh-CN" w:bidi="ar"/>
              </w:rPr>
              <w:t>1、</w:t>
            </w:r>
            <w:r>
              <w:rPr>
                <w:rFonts w:hint="eastAsia" w:ascii="宋体" w:hAnsi="宋体" w:eastAsia="宋体" w:cs="宋体"/>
                <w:color w:val="auto"/>
                <w:kern w:val="0"/>
                <w:szCs w:val="21"/>
                <w:lang w:eastAsia="zh-CN" w:bidi="ar"/>
              </w:rPr>
              <w:t>容灾统一管理平台支持但不限于数据库、文件、应用、主机、网络、负载均衡等的统一管控，可实现灾备运行状态监控、预案编排与评估、容灾演练与灾难切换等场景的功能，</w:t>
            </w:r>
            <w:r>
              <w:rPr>
                <w:rFonts w:hint="eastAsia" w:ascii="宋体" w:hAnsi="宋体" w:eastAsia="宋体" w:cs="宋体"/>
                <w:color w:val="000000" w:themeColor="text1"/>
                <w:kern w:val="0"/>
                <w:szCs w:val="21"/>
                <w:lang w:eastAsia="zh-CN" w:bidi="ar"/>
                <w14:textFill>
                  <w14:solidFill>
                    <w14:schemeClr w14:val="tx1"/>
                  </w14:solidFill>
                </w14:textFill>
              </w:rPr>
              <w:t>提供</w:t>
            </w:r>
            <w:r>
              <w:rPr>
                <w:rFonts w:hint="eastAsia" w:ascii="宋体" w:hAnsi="宋体" w:eastAsia="宋体" w:cs="宋体"/>
                <w:color w:val="000000" w:themeColor="text1"/>
                <w:kern w:val="0"/>
                <w:szCs w:val="21"/>
                <w:lang w:val="en-US" w:eastAsia="zh-CN" w:bidi="ar"/>
                <w14:textFill>
                  <w14:solidFill>
                    <w14:schemeClr w14:val="tx1"/>
                  </w14:solidFill>
                </w14:textFill>
              </w:rPr>
              <w:t>10</w:t>
            </w:r>
            <w:r>
              <w:rPr>
                <w:rFonts w:hint="eastAsia" w:ascii="宋体" w:hAnsi="宋体" w:eastAsia="宋体" w:cs="宋体"/>
                <w:color w:val="000000" w:themeColor="text1"/>
                <w:kern w:val="0"/>
                <w:szCs w:val="21"/>
                <w:lang w:eastAsia="zh-CN" w:bidi="ar"/>
                <w14:textFill>
                  <w14:solidFill>
                    <w14:schemeClr w14:val="tx1"/>
                  </w14:solidFill>
                </w14:textFill>
              </w:rPr>
              <w:t>个业务编排授权。</w:t>
            </w:r>
            <w:r>
              <w:rPr>
                <w:rFonts w:hint="eastAsia" w:ascii="宋体" w:hAnsi="宋体" w:eastAsia="宋体" w:cs="宋体"/>
                <w:color w:val="000000" w:themeColor="text1"/>
                <w:kern w:val="0"/>
                <w:szCs w:val="21"/>
                <w:lang w:val="en-US" w:eastAsia="zh-CN" w:bidi="ar"/>
                <w14:textFill>
                  <w14:solidFill>
                    <w14:schemeClr w14:val="tx1"/>
                  </w14:solidFill>
                </w14:textFill>
              </w:rPr>
              <w:t>必须和</w:t>
            </w:r>
            <w:r>
              <w:rPr>
                <w:rFonts w:hint="eastAsia" w:ascii="宋体" w:hAnsi="宋体" w:eastAsia="宋体" w:cs="宋体"/>
                <w:color w:val="000000" w:themeColor="text1"/>
                <w:szCs w:val="21"/>
                <w14:textFill>
                  <w14:solidFill>
                    <w14:schemeClr w14:val="tx1"/>
                  </w14:solidFill>
                </w14:textFill>
              </w:rPr>
              <w:t>容灾</w:t>
            </w:r>
            <w:r>
              <w:rPr>
                <w:rFonts w:hint="eastAsia" w:ascii="宋体" w:hAnsi="宋体" w:eastAsia="宋体" w:cs="宋体"/>
                <w:color w:val="000000" w:themeColor="text1"/>
                <w:szCs w:val="21"/>
                <w:lang w:val="en-US" w:eastAsia="zh-CN"/>
                <w14:textFill>
                  <w14:solidFill>
                    <w14:schemeClr w14:val="tx1"/>
                  </w14:solidFill>
                </w14:textFill>
              </w:rPr>
              <w:t>一体化平台为同一品牌；</w:t>
            </w:r>
          </w:p>
          <w:p w14:paraId="6C4FD7FF">
            <w:pPr>
              <w:pStyle w:val="15"/>
              <w:widowControl/>
              <w:numPr>
                <w:ilvl w:val="0"/>
                <w:numId w:val="0"/>
              </w:numPr>
              <w:ind w:leftChars="0"/>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val="en-US" w:eastAsia="zh-CN" w:bidi="ar"/>
              </w:rPr>
              <w:t>2、</w:t>
            </w:r>
            <w:r>
              <w:rPr>
                <w:rFonts w:hint="eastAsia" w:ascii="宋体" w:hAnsi="宋体" w:eastAsia="宋体" w:cs="宋体"/>
                <w:color w:val="auto"/>
                <w:kern w:val="0"/>
                <w:szCs w:val="21"/>
                <w:lang w:eastAsia="zh-CN" w:bidi="ar"/>
              </w:rPr>
              <w:t>提供基于https的WEB访问管理模式，集中监控所有灾备资源，对灾备存储空间、灾备任务执行情况、灾备节点负载等进行监控和分析；提供容灾备份统一纳管功能，可纳管本次项目中所提供的容灾备份系统、现有核心业务系统数据库灾备手段和现有容灾备份工具，无需登录各子业务系统，即可通过纳管平台统一操作和管理；</w:t>
            </w:r>
          </w:p>
          <w:p w14:paraId="1690FD0E">
            <w:pPr>
              <w:pStyle w:val="15"/>
              <w:widowControl/>
              <w:numPr>
                <w:ilvl w:val="0"/>
                <w:numId w:val="0"/>
              </w:numPr>
              <w:ind w:leftChars="0"/>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val="en-US" w:eastAsia="zh-CN" w:bidi="ar"/>
              </w:rPr>
              <w:t>3、提供Oracle、SQL Server、MySQL、PostgreSQL、DB2、Redis、MongoDB、达梦、Informix、HANA、kingbase、TiDB、openGauss、InterSystems、海量数据、TDSQL、阿里云MySQL、OceanBase、瀚高、MariaDB等数据库进行容灾纳管，无须脚本编写和二次开发；</w:t>
            </w:r>
          </w:p>
          <w:p w14:paraId="11DC73BA">
            <w:pPr>
              <w:pStyle w:val="15"/>
              <w:widowControl/>
              <w:numPr>
                <w:ilvl w:val="0"/>
                <w:numId w:val="0"/>
              </w:numPr>
              <w:ind w:leftChars="0"/>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val="en-US" w:eastAsia="zh-CN" w:bidi="ar"/>
              </w:rPr>
              <w:t>4、提供预案管理模块，以业务系统为核心，预案提供与业务系统、人员、事件库、编排库的关联管理，根据每个业务流以及实际切换需求进行可视化自由编排。实现体系化的预案管理;提供预案文档在线结构化编写，平台内置行业性预案文档模板，可一键调用，提供一键评估预案切换能力；</w:t>
            </w:r>
          </w:p>
          <w:p w14:paraId="67CE1A15">
            <w:pPr>
              <w:pStyle w:val="15"/>
              <w:widowControl/>
              <w:numPr>
                <w:ilvl w:val="0"/>
                <w:numId w:val="0"/>
              </w:numPr>
              <w:ind w:leftChars="0"/>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val="en-US" w:eastAsia="zh-CN" w:bidi="ar"/>
              </w:rPr>
              <w:t>5、提供按月度、季度和年度展示 RPO、RTO等灾备运营关键指标，同时展示告警趋势、告警分类、巡检评估趋势和演练趋势，帮助用户全面监控灾备状态；</w:t>
            </w:r>
          </w:p>
          <w:p w14:paraId="349B76FB">
            <w:pPr>
              <w:pStyle w:val="15"/>
              <w:widowControl/>
              <w:numPr>
                <w:ilvl w:val="0"/>
                <w:numId w:val="0"/>
              </w:numPr>
              <w:ind w:leftChars="0"/>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val="en-US" w:eastAsia="zh-CN" w:bidi="ar"/>
              </w:rPr>
              <w:t>6、提供桌面演练功能，涵盖数据库、应用、中间件、网络、IP、CDP 数据验证等。演练过程提供通过端口或脚本的方式验证数据一致性与可靠性。提供桌面演练过程前后的环境检查能力，针对主备之间状态、用户权限、环境参数等维度，进行桌面演练操作的安全检查。</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7C7D">
            <w:pPr>
              <w:widowControl/>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EECF1">
            <w:pPr>
              <w:widowControl/>
              <w:jc w:val="center"/>
              <w:textAlignment w:val="center"/>
              <w:rPr>
                <w:rFonts w:hint="default" w:ascii="宋体" w:hAnsi="宋体" w:eastAsia="宋体" w:cs="宋体"/>
                <w:color w:val="000000"/>
                <w:szCs w:val="21"/>
                <w:lang w:val="en-US" w:eastAsia="zh-CN"/>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5DEFD">
            <w:pPr>
              <w:widowControl/>
              <w:jc w:val="center"/>
              <w:textAlignment w:val="center"/>
              <w:rPr>
                <w:rFonts w:hint="default" w:ascii="宋体" w:hAnsi="宋体" w:eastAsia="宋体" w:cs="宋体"/>
                <w:color w:val="000000"/>
                <w:szCs w:val="21"/>
                <w:lang w:val="en-US" w:eastAsia="zh-CN"/>
              </w:rPr>
            </w:pPr>
          </w:p>
        </w:tc>
      </w:tr>
      <w:tr w14:paraId="38DDD042">
        <w:tblPrEx>
          <w:tblCellMar>
            <w:top w:w="0" w:type="dxa"/>
            <w:left w:w="108" w:type="dxa"/>
            <w:bottom w:w="0" w:type="dxa"/>
            <w:right w:w="108" w:type="dxa"/>
          </w:tblCellMar>
        </w:tblPrEx>
        <w:trPr>
          <w:trHeight w:val="9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612B">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91DA">
            <w:pPr>
              <w:widowControl/>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szCs w:val="21"/>
                <w:lang w:val="en-US" w:eastAsia="zh-CN"/>
              </w:rPr>
              <w:t>系统集成实施服务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8CBC">
            <w:pPr>
              <w:widowControl/>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定制</w:t>
            </w:r>
          </w:p>
        </w:tc>
        <w:tc>
          <w:tcPr>
            <w:tcW w:w="5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7EB8">
            <w:pPr>
              <w:pStyle w:val="15"/>
              <w:widowControl/>
              <w:numPr>
                <w:ilvl w:val="0"/>
                <w:numId w:val="0"/>
              </w:numPr>
              <w:contextualSpacing/>
              <w:jc w:val="both"/>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一、具体服务内容</w:t>
            </w:r>
          </w:p>
          <w:p w14:paraId="7556CC30">
            <w:pPr>
              <w:pStyle w:val="15"/>
              <w:widowControl/>
              <w:numPr>
                <w:ilvl w:val="0"/>
                <w:numId w:val="0"/>
              </w:numPr>
              <w:contextualSpacing/>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1、容灾与备份实施：由投标人统一协调项目各种资源去安装、配置、联调容</w:t>
            </w:r>
            <w:r>
              <w:rPr>
                <w:rFonts w:hint="eastAsia" w:ascii="宋体" w:hAnsi="宋体" w:eastAsia="宋体" w:cs="宋体"/>
                <w:color w:val="000000"/>
                <w:szCs w:val="21"/>
              </w:rPr>
              <w:t>数据库双活管理</w:t>
            </w:r>
            <w:r>
              <w:rPr>
                <w:rFonts w:hint="eastAsia" w:ascii="宋体" w:hAnsi="宋体" w:eastAsia="宋体" w:cs="宋体"/>
                <w:color w:val="000000"/>
                <w:szCs w:val="21"/>
                <w:lang w:val="en-US" w:eastAsia="zh-CN"/>
              </w:rPr>
              <w:t>平台、</w:t>
            </w:r>
            <w:r>
              <w:rPr>
                <w:rFonts w:hint="eastAsia" w:ascii="宋体" w:hAnsi="宋体" w:eastAsia="宋体" w:cs="宋体"/>
                <w:color w:val="000000"/>
                <w:szCs w:val="21"/>
              </w:rPr>
              <w:t>容灾</w:t>
            </w:r>
            <w:r>
              <w:rPr>
                <w:rFonts w:hint="eastAsia" w:ascii="宋体" w:hAnsi="宋体" w:eastAsia="宋体" w:cs="宋体"/>
                <w:color w:val="000000"/>
                <w:szCs w:val="21"/>
                <w:lang w:val="en-US" w:eastAsia="zh-CN"/>
              </w:rPr>
              <w:t>集群平台、容灾统一管理平台</w:t>
            </w:r>
            <w:r>
              <w:rPr>
                <w:rFonts w:hint="eastAsia" w:ascii="宋体" w:hAnsi="宋体" w:eastAsia="宋体" w:cs="宋体"/>
                <w:color w:val="auto"/>
                <w:kern w:val="0"/>
                <w:szCs w:val="21"/>
                <w:lang w:val="en-US" w:eastAsia="zh-CN" w:bidi="ar"/>
              </w:rPr>
              <w:t>，以保障在自然灾害或其他意外情况下数据的完整性和业务的连续性；同时实现数据的定期备份和快速恢复功能，确保数据的安全性。设备安装、互联需要的线材、光模块、标签纸等项目中使用到的辅材一并由投标人提供；2、</w:t>
            </w:r>
            <w:r>
              <w:rPr>
                <w:rFonts w:hint="eastAsia" w:ascii="宋体" w:hAnsi="宋体" w:eastAsia="宋体" w:cs="宋体"/>
                <w:color w:val="000000"/>
                <w:sz w:val="21"/>
                <w:szCs w:val="21"/>
                <w:lang w:val="en-US" w:eastAsia="zh-CN"/>
              </w:rPr>
              <w:t>验收标准：根据全国医院信息化建设标准与规范（试行），以上实施的灾备系统必须达到关键业务信息系统 RTO≦ 15 分钟，RPO≦ 10 分钟；</w:t>
            </w:r>
          </w:p>
          <w:p w14:paraId="578BA8F3">
            <w:pPr>
              <w:pStyle w:val="15"/>
              <w:widowControl/>
              <w:numPr>
                <w:ilvl w:val="0"/>
                <w:numId w:val="0"/>
              </w:numPr>
              <w:contextualSpacing/>
              <w:jc w:val="both"/>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3、投标人需提供7*24小时响应：提供电话、邮件、远程支持，10分钟内响应，需要现场处理的，投标人的服务工程师需要30分钟内到现场，后台专家团队提供不限次紧急故障处理服务，确保在2小时内解决故障或提供后备解决方案；</w:t>
            </w:r>
          </w:p>
          <w:p w14:paraId="192F1C45">
            <w:pPr>
              <w:pStyle w:val="15"/>
              <w:widowControl/>
              <w:numPr>
                <w:ilvl w:val="0"/>
                <w:numId w:val="0"/>
              </w:numPr>
              <w:contextualSpacing/>
              <w:jc w:val="both"/>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4、投标人在项目维保期内按月进行设备巡检，检查硬件和软件健康状况、软件更新状态、系统配置合理性等。每半年进行一次容灾演练，合计一年两次；</w:t>
            </w:r>
          </w:p>
          <w:p w14:paraId="5B7C2EF8">
            <w:pPr>
              <w:pStyle w:val="15"/>
              <w:widowControl/>
              <w:numPr>
                <w:ilvl w:val="0"/>
                <w:numId w:val="0"/>
              </w:numPr>
              <w:contextualSpacing/>
              <w:jc w:val="both"/>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5、投标人在项目维保期内应不限次数地配合医院做各项评审评级，如电子病历评级、互联互通评级等。</w:t>
            </w:r>
          </w:p>
          <w:p w14:paraId="6D621512">
            <w:pPr>
              <w:pStyle w:val="15"/>
              <w:widowControl/>
              <w:numPr>
                <w:ilvl w:val="0"/>
                <w:numId w:val="0"/>
              </w:numPr>
              <w:contextualSpacing/>
              <w:jc w:val="both"/>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二、服务要求</w:t>
            </w:r>
          </w:p>
          <w:p w14:paraId="5AFAADC8">
            <w:pPr>
              <w:pStyle w:val="15"/>
              <w:widowControl/>
              <w:numPr>
                <w:ilvl w:val="0"/>
                <w:numId w:val="0"/>
              </w:numPr>
              <w:contextualSpacing/>
              <w:jc w:val="both"/>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1、具备丰富的医院信息化建设项目经验，熟悉相关技术和产品；</w:t>
            </w:r>
          </w:p>
          <w:p w14:paraId="585E57C2">
            <w:pPr>
              <w:pStyle w:val="15"/>
              <w:widowControl/>
              <w:numPr>
                <w:ilvl w:val="0"/>
                <w:numId w:val="0"/>
              </w:numPr>
              <w:contextualSpacing/>
              <w:jc w:val="both"/>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2、实施过程中严格遵守医院的相关规定，确保不影响医院正常业务的开展；</w:t>
            </w:r>
          </w:p>
          <w:p w14:paraId="45929692">
            <w:pPr>
              <w:pStyle w:val="15"/>
              <w:widowControl/>
              <w:numPr>
                <w:ilvl w:val="0"/>
                <w:numId w:val="0"/>
              </w:numPr>
              <w:contextualSpacing/>
              <w:jc w:val="both"/>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3、实施完成后，提供全面的测试报告和验收文档，确保所有系统和服务均达到预期标准；</w:t>
            </w:r>
          </w:p>
          <w:p w14:paraId="22C90409">
            <w:pPr>
              <w:pStyle w:val="15"/>
              <w:widowControl/>
              <w:numPr>
                <w:ilvl w:val="0"/>
                <w:numId w:val="0"/>
              </w:numPr>
              <w:contextualSpacing/>
              <w:jc w:val="both"/>
              <w:textAlignment w:val="center"/>
              <w:rPr>
                <w:rFonts w:hint="eastAsia" w:ascii="宋体" w:hAnsi="宋体" w:eastAsia="宋体" w:cs="宋体"/>
                <w:color w:val="FF0000"/>
                <w:kern w:val="0"/>
                <w:szCs w:val="21"/>
                <w:lang w:val="en-US" w:eastAsia="zh-CN" w:bidi="ar"/>
              </w:rPr>
            </w:pPr>
            <w:r>
              <w:rPr>
                <w:rFonts w:hint="eastAsia" w:ascii="宋体" w:hAnsi="宋体" w:eastAsia="宋体" w:cs="宋体"/>
                <w:color w:val="auto"/>
                <w:kern w:val="0"/>
                <w:szCs w:val="21"/>
                <w:lang w:val="en-US" w:eastAsia="zh-CN" w:bidi="ar"/>
              </w:rPr>
              <w:t>4、提供必要的培训和技术支持，确保医院信息技术人员能够熟练掌握新系统的操作和维护。</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2DA3">
            <w:pPr>
              <w:widowControl/>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BAE0">
            <w:pPr>
              <w:widowControl/>
              <w:jc w:val="center"/>
              <w:textAlignment w:val="center"/>
              <w:rPr>
                <w:rFonts w:hint="default" w:ascii="宋体" w:hAnsi="宋体" w:eastAsia="宋体" w:cs="宋体"/>
                <w:color w:val="000000"/>
                <w:kern w:val="2"/>
                <w:sz w:val="21"/>
                <w:szCs w:val="21"/>
                <w:lang w:val="en-US" w:eastAsia="zh-CN" w:bidi="ar-SA"/>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01AE">
            <w:pPr>
              <w:widowControl/>
              <w:jc w:val="center"/>
              <w:textAlignment w:val="center"/>
              <w:rPr>
                <w:rFonts w:hint="default" w:ascii="宋体" w:hAnsi="宋体" w:eastAsia="宋体" w:cs="宋体"/>
                <w:color w:val="000000"/>
                <w:szCs w:val="21"/>
                <w:lang w:val="en-US" w:eastAsia="zh-CN"/>
              </w:rPr>
            </w:pPr>
          </w:p>
        </w:tc>
      </w:tr>
    </w:tbl>
    <w:p w14:paraId="20DF8FE3">
      <w:p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五、商务及其他要求</w:t>
      </w:r>
    </w:p>
    <w:p w14:paraId="13609376">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1、报价方案：提供详细的分项报价及总价，明确报价包含的产品、服务等所有费用；</w:t>
      </w:r>
    </w:p>
    <w:p w14:paraId="6E4EBFA1">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2、成功案例：提供近3年内至少2家三甲医院及以上同类灾备系统建设案例，需提供合同复印件、验收报告等证明材料（加盖公章）；</w:t>
      </w:r>
    </w:p>
    <w:p w14:paraId="3A5FB959">
      <w:p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3、合理化建议：结合我院业务特点，提供灾备系统建设、运维管理的合理化建议。</w:t>
      </w:r>
    </w:p>
    <w:p w14:paraId="1E020CBB"/>
    <w:sectPr>
      <w:footerReference r:id="rId3" w:type="default"/>
      <w:pgSz w:w="11906" w:h="16838"/>
      <w:pgMar w:top="1440" w:right="1134" w:bottom="1440"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embedRegular r:id="rId1" w:fontKey="{85DC8548-AFF5-47CA-978E-60A12BDCD1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B0E8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A845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1A845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DB7"/>
    <w:rsid w:val="00007A4C"/>
    <w:rsid w:val="00034E0F"/>
    <w:rsid w:val="0004545B"/>
    <w:rsid w:val="00143C71"/>
    <w:rsid w:val="001C1F40"/>
    <w:rsid w:val="001C6120"/>
    <w:rsid w:val="004752EA"/>
    <w:rsid w:val="004B3CF9"/>
    <w:rsid w:val="005743DC"/>
    <w:rsid w:val="006916FE"/>
    <w:rsid w:val="007E1CA4"/>
    <w:rsid w:val="00877AB2"/>
    <w:rsid w:val="0088782D"/>
    <w:rsid w:val="008A4C35"/>
    <w:rsid w:val="009B3DD0"/>
    <w:rsid w:val="00A31BA0"/>
    <w:rsid w:val="00A76DB7"/>
    <w:rsid w:val="00CB5B48"/>
    <w:rsid w:val="00D7743C"/>
    <w:rsid w:val="00ED4974"/>
    <w:rsid w:val="01BD17FD"/>
    <w:rsid w:val="026E67DA"/>
    <w:rsid w:val="02DA09CB"/>
    <w:rsid w:val="03257358"/>
    <w:rsid w:val="043F112F"/>
    <w:rsid w:val="058368B9"/>
    <w:rsid w:val="05E01F5E"/>
    <w:rsid w:val="06E34952"/>
    <w:rsid w:val="07A4680E"/>
    <w:rsid w:val="07A47600"/>
    <w:rsid w:val="093F0D49"/>
    <w:rsid w:val="0AAE2F58"/>
    <w:rsid w:val="0ABD0ABF"/>
    <w:rsid w:val="0BB579E9"/>
    <w:rsid w:val="0C0F534B"/>
    <w:rsid w:val="0DA834EE"/>
    <w:rsid w:val="0E8E74A4"/>
    <w:rsid w:val="0FDA73BD"/>
    <w:rsid w:val="0FF30AAD"/>
    <w:rsid w:val="0FF47AFA"/>
    <w:rsid w:val="11164F3F"/>
    <w:rsid w:val="11333889"/>
    <w:rsid w:val="13E62E35"/>
    <w:rsid w:val="1591028B"/>
    <w:rsid w:val="15DB6698"/>
    <w:rsid w:val="18E204EA"/>
    <w:rsid w:val="1CC23F9A"/>
    <w:rsid w:val="1D0E6C92"/>
    <w:rsid w:val="20791731"/>
    <w:rsid w:val="210E62C7"/>
    <w:rsid w:val="21827282"/>
    <w:rsid w:val="21DA72C3"/>
    <w:rsid w:val="22623FCE"/>
    <w:rsid w:val="23623913"/>
    <w:rsid w:val="23CC2496"/>
    <w:rsid w:val="250824DF"/>
    <w:rsid w:val="2570177B"/>
    <w:rsid w:val="265500D6"/>
    <w:rsid w:val="26664A89"/>
    <w:rsid w:val="275163C0"/>
    <w:rsid w:val="27BA5D13"/>
    <w:rsid w:val="28B97122"/>
    <w:rsid w:val="29632D28"/>
    <w:rsid w:val="29687000"/>
    <w:rsid w:val="2AA902C1"/>
    <w:rsid w:val="2AE40D86"/>
    <w:rsid w:val="2B8247D2"/>
    <w:rsid w:val="2E4068FB"/>
    <w:rsid w:val="2EA30912"/>
    <w:rsid w:val="2EA414CB"/>
    <w:rsid w:val="2F232358"/>
    <w:rsid w:val="30826642"/>
    <w:rsid w:val="30B73BE3"/>
    <w:rsid w:val="32A513FD"/>
    <w:rsid w:val="32D141FD"/>
    <w:rsid w:val="3350577D"/>
    <w:rsid w:val="338E3151"/>
    <w:rsid w:val="34A92395"/>
    <w:rsid w:val="363870C8"/>
    <w:rsid w:val="36837263"/>
    <w:rsid w:val="371B42F4"/>
    <w:rsid w:val="371C38A7"/>
    <w:rsid w:val="37215DAE"/>
    <w:rsid w:val="373D07E0"/>
    <w:rsid w:val="37740180"/>
    <w:rsid w:val="37D61EEE"/>
    <w:rsid w:val="399A7CBE"/>
    <w:rsid w:val="3BBE566C"/>
    <w:rsid w:val="3E345E67"/>
    <w:rsid w:val="3F5E0662"/>
    <w:rsid w:val="450D7972"/>
    <w:rsid w:val="45F33597"/>
    <w:rsid w:val="46480927"/>
    <w:rsid w:val="47264849"/>
    <w:rsid w:val="48630BCF"/>
    <w:rsid w:val="488F0699"/>
    <w:rsid w:val="4A28335A"/>
    <w:rsid w:val="4A640184"/>
    <w:rsid w:val="4AB60988"/>
    <w:rsid w:val="4D52686A"/>
    <w:rsid w:val="4EF31987"/>
    <w:rsid w:val="4EFB6A8D"/>
    <w:rsid w:val="501222E0"/>
    <w:rsid w:val="52650DED"/>
    <w:rsid w:val="530103EA"/>
    <w:rsid w:val="562D0092"/>
    <w:rsid w:val="569C0F8B"/>
    <w:rsid w:val="593C6FD2"/>
    <w:rsid w:val="5BE7549F"/>
    <w:rsid w:val="5BF50B3B"/>
    <w:rsid w:val="5D8C7856"/>
    <w:rsid w:val="5E2A2EEB"/>
    <w:rsid w:val="60830691"/>
    <w:rsid w:val="617A1D3C"/>
    <w:rsid w:val="63097D09"/>
    <w:rsid w:val="63933D9A"/>
    <w:rsid w:val="63CF22B7"/>
    <w:rsid w:val="63CF256B"/>
    <w:rsid w:val="6416479F"/>
    <w:rsid w:val="64EC607B"/>
    <w:rsid w:val="65C43C25"/>
    <w:rsid w:val="66665A62"/>
    <w:rsid w:val="668F04BA"/>
    <w:rsid w:val="68354AF5"/>
    <w:rsid w:val="696C43B8"/>
    <w:rsid w:val="6A0C68FB"/>
    <w:rsid w:val="6A3824EC"/>
    <w:rsid w:val="6BD050D2"/>
    <w:rsid w:val="6CE90319"/>
    <w:rsid w:val="6D377E08"/>
    <w:rsid w:val="6D6747AC"/>
    <w:rsid w:val="6D9C0FE4"/>
    <w:rsid w:val="6DE9198B"/>
    <w:rsid w:val="6F125A01"/>
    <w:rsid w:val="6F181430"/>
    <w:rsid w:val="6F2D6397"/>
    <w:rsid w:val="6FF83BA8"/>
    <w:rsid w:val="701340A1"/>
    <w:rsid w:val="753157F7"/>
    <w:rsid w:val="76880357"/>
    <w:rsid w:val="77046266"/>
    <w:rsid w:val="7746449A"/>
    <w:rsid w:val="77B92EBE"/>
    <w:rsid w:val="786646C8"/>
    <w:rsid w:val="78EA782E"/>
    <w:rsid w:val="79097328"/>
    <w:rsid w:val="7AAC271B"/>
    <w:rsid w:val="7B14601F"/>
    <w:rsid w:val="7B250E34"/>
    <w:rsid w:val="7C245730"/>
    <w:rsid w:val="7CF03884"/>
    <w:rsid w:val="7D616D2A"/>
    <w:rsid w:val="7EEC1DCB"/>
    <w:rsid w:val="7F7B3CEF"/>
    <w:rsid w:val="FBFF6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style>
  <w:style w:type="paragraph" w:styleId="5">
    <w:name w:val="footer"/>
    <w:basedOn w:val="1"/>
    <w:link w:val="17"/>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styleId="10">
    <w:name w:val="Strong"/>
    <w:basedOn w:val="9"/>
    <w:qFormat/>
    <w:uiPriority w:val="0"/>
    <w:rPr>
      <w:b/>
    </w:rPr>
  </w:style>
  <w:style w:type="character" w:customStyle="1" w:styleId="11">
    <w:name w:val="font41"/>
    <w:basedOn w:val="9"/>
    <w:qFormat/>
    <w:uiPriority w:val="0"/>
    <w:rPr>
      <w:rFonts w:hint="eastAsia" w:ascii="宋体" w:hAnsi="宋体" w:eastAsia="宋体" w:cs="宋体"/>
      <w:color w:val="FF0000"/>
      <w:sz w:val="16"/>
      <w:szCs w:val="16"/>
      <w:u w:val="none"/>
    </w:rPr>
  </w:style>
  <w:style w:type="character" w:customStyle="1" w:styleId="12">
    <w:name w:val="font11"/>
    <w:basedOn w:val="9"/>
    <w:qFormat/>
    <w:uiPriority w:val="0"/>
    <w:rPr>
      <w:rFonts w:hint="eastAsia" w:ascii="宋体" w:hAnsi="宋体" w:eastAsia="宋体" w:cs="宋体"/>
      <w:color w:val="000000"/>
      <w:sz w:val="16"/>
      <w:szCs w:val="16"/>
      <w:u w:val="none"/>
    </w:rPr>
  </w:style>
  <w:style w:type="character" w:customStyle="1" w:styleId="13">
    <w:name w:val="font51"/>
    <w:basedOn w:val="9"/>
    <w:qFormat/>
    <w:uiPriority w:val="0"/>
    <w:rPr>
      <w:rFonts w:hint="eastAsia" w:ascii="宋体" w:hAnsi="宋体" w:eastAsia="宋体" w:cs="宋体"/>
      <w:b/>
      <w:bCs/>
      <w:color w:val="FF0000"/>
      <w:sz w:val="16"/>
      <w:szCs w:val="16"/>
      <w:u w:val="none"/>
    </w:rPr>
  </w:style>
  <w:style w:type="character" w:customStyle="1" w:styleId="14">
    <w:name w:val="font31"/>
    <w:basedOn w:val="9"/>
    <w:qFormat/>
    <w:uiPriority w:val="0"/>
    <w:rPr>
      <w:rFonts w:hint="eastAsia" w:ascii="宋体" w:hAnsi="宋体" w:eastAsia="宋体" w:cs="宋体"/>
      <w:color w:val="000000"/>
      <w:sz w:val="16"/>
      <w:szCs w:val="16"/>
      <w:u w:val="none"/>
    </w:rPr>
  </w:style>
  <w:style w:type="paragraph" w:styleId="15">
    <w:name w:val="List Paragraph"/>
    <w:basedOn w:val="1"/>
    <w:qFormat/>
    <w:uiPriority w:val="34"/>
    <w:pPr>
      <w:ind w:left="720"/>
      <w:contextualSpacing/>
    </w:pPr>
  </w:style>
  <w:style w:type="character" w:customStyle="1" w:styleId="16">
    <w:name w:val="页眉 字符"/>
    <w:basedOn w:val="9"/>
    <w:link w:val="6"/>
    <w:qFormat/>
    <w:uiPriority w:val="0"/>
    <w:rPr>
      <w:rFonts w:asciiTheme="minorHAnsi" w:hAnsiTheme="minorHAnsi" w:eastAsiaTheme="minorEastAsia" w:cstheme="minorBidi"/>
      <w:kern w:val="2"/>
      <w:sz w:val="18"/>
      <w:szCs w:val="18"/>
    </w:rPr>
  </w:style>
  <w:style w:type="character" w:customStyle="1" w:styleId="17">
    <w:name w:val="页脚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2203</Words>
  <Characters>2414</Characters>
  <Lines>41</Lines>
  <Paragraphs>11</Paragraphs>
  <TotalTime>2</TotalTime>
  <ScaleCrop>false</ScaleCrop>
  <LinksUpToDate>false</LinksUpToDate>
  <CharactersWithSpaces>2433</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2025-03-12T16:57:00Z</dcterms:created>
  <dc:creator>asus</dc:creator>
  <cp:lastModifiedBy>Administrator</cp:lastModifiedBy>
  <dcterms:modified xsi:type="dcterms:W3CDTF">2026-08-14T01:55:28Z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KSOTemplateDocerSaveRecord">
    <vt:lpwstr>eyJoZGlkIjoiNjYzZGY5YWM3YzA2NTcwNDgyNTE0MDgyZjdhY2YwOGEifQ==</vt:lpwstr>
  </property>
  <property fmtid="{D5CDD505-2E9C-101B-9397-08002B2CF9AE}" pid="4" name="ICV">
    <vt:lpwstr>8BE5EF3B17E3405581143DE92F909E2A_13</vt:lpwstr>
  </property>
</Properties>
</file>