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AD1E8">
      <w:pPr>
        <w:spacing w:line="44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良性阵发性位置性眩晕诊疗系统参考参数</w:t>
      </w:r>
    </w:p>
    <w:p w14:paraId="52FBBE16">
      <w:pPr>
        <w:spacing w:line="440" w:lineRule="exact"/>
        <w:jc w:val="center"/>
        <w:rPr>
          <w:rFonts w:asciiTheme="majorEastAsia" w:hAnsiTheme="majorEastAsia" w:eastAsiaTheme="majorEastAsia"/>
          <w:b/>
          <w:sz w:val="32"/>
          <w:szCs w:val="32"/>
        </w:rPr>
      </w:pPr>
    </w:p>
    <w:p w14:paraId="2F0BFD2E">
      <w:pPr>
        <w:pStyle w:val="10"/>
        <w:numPr>
          <w:ilvl w:val="0"/>
          <w:numId w:val="1"/>
        </w:numPr>
        <w:spacing w:line="440" w:lineRule="exact"/>
        <w:ind w:firstLine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产品适用范围</w:t>
      </w:r>
    </w:p>
    <w:p w14:paraId="0931EA67">
      <w:pPr>
        <w:pStyle w:val="10"/>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适用于良性阵发性位置性眩晕（BPPV）的诊断和治疗，适用于梅尼埃病、突发性耳聋合并眩晕等前庭性疾病的辅助检查。</w:t>
      </w:r>
    </w:p>
    <w:p w14:paraId="332A83A5">
      <w:pPr>
        <w:spacing w:line="44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2. 产品构成</w:t>
      </w:r>
    </w:p>
    <w:p w14:paraId="30217CCE">
      <w:pPr>
        <w:spacing w:line="440" w:lineRule="exact"/>
        <w:ind w:firstLine="420"/>
        <w:rPr>
          <w:rFonts w:asciiTheme="minorEastAsia" w:hAnsiTheme="minorEastAsia" w:eastAsiaTheme="minorEastAsia"/>
          <w:b/>
          <w:bCs/>
          <w:sz w:val="24"/>
          <w:szCs w:val="24"/>
        </w:rPr>
      </w:pPr>
      <w:r>
        <w:rPr>
          <w:rFonts w:hint="eastAsia" w:asciiTheme="minorEastAsia" w:hAnsiTheme="minorEastAsia" w:eastAsiaTheme="minorEastAsia"/>
          <w:sz w:val="24"/>
          <w:szCs w:val="24"/>
        </w:rPr>
        <w:t>由主机、控制台、眼罩组成。系统为诊断治疗一体机。</w:t>
      </w:r>
    </w:p>
    <w:p w14:paraId="1164BC70">
      <w:pPr>
        <w:spacing w:line="440" w:lineRule="exact"/>
        <w:rPr>
          <w:rFonts w:asciiTheme="minorEastAsia" w:hAnsiTheme="minorEastAsia" w:eastAsiaTheme="minorEastAsia"/>
          <w:sz w:val="24"/>
          <w:szCs w:val="24"/>
        </w:rPr>
      </w:pPr>
      <w:r>
        <w:rPr>
          <w:rFonts w:hint="eastAsia" w:asciiTheme="minorEastAsia" w:hAnsiTheme="minorEastAsia" w:eastAsiaTheme="minorEastAsia"/>
          <w:b/>
          <w:bCs/>
          <w:sz w:val="24"/>
          <w:szCs w:val="24"/>
        </w:rPr>
        <w:t>3．转动装置</w:t>
      </w:r>
    </w:p>
    <w:p w14:paraId="27335249">
      <w:pPr>
        <w:spacing w:line="440" w:lineRule="exact"/>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具有两个独立控制并相互垂直的旋转轴和一个随旋转轴进行旋转的体位固定椅。正常诊疗时，噪音不超过7</w:t>
      </w:r>
      <w:r>
        <w:rPr>
          <w:rFonts w:asciiTheme="minorEastAsia" w:hAnsiTheme="minorEastAsia" w:eastAsiaTheme="minorEastAsia"/>
          <w:sz w:val="24"/>
          <w:szCs w:val="24"/>
        </w:rPr>
        <w:t>5dB</w:t>
      </w:r>
      <w:r>
        <w:rPr>
          <w:rFonts w:hint="eastAsia" w:asciiTheme="minorEastAsia" w:hAnsiTheme="minorEastAsia" w:eastAsiaTheme="minorEastAsia"/>
          <w:sz w:val="24"/>
          <w:szCs w:val="24"/>
        </w:rPr>
        <w:t>。</w:t>
      </w:r>
    </w:p>
    <w:p w14:paraId="3EBBE207">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b/>
          <w:bCs/>
          <w:sz w:val="24"/>
          <w:szCs w:val="24"/>
        </w:rPr>
        <w:t>3.1、主轴</w:t>
      </w:r>
    </w:p>
    <w:p w14:paraId="38F06F24">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主转动轴处于水平方向。</w:t>
      </w:r>
    </w:p>
    <w:p w14:paraId="082D846E">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转动角度：不限，梯度1゜，误差≤</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p>
    <w:p w14:paraId="2EC96708">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转速：可数字输入，梯度 1゜/s，最大180 ゜/s，误差≤</w:t>
      </w:r>
      <w:r>
        <w:rPr>
          <w:rFonts w:asciiTheme="minorEastAsia" w:hAnsiTheme="minorEastAsia" w:eastAsiaTheme="minorEastAsia"/>
          <w:sz w:val="24"/>
          <w:szCs w:val="24"/>
        </w:rPr>
        <w:t>5</w:t>
      </w:r>
      <w:r>
        <w:rPr>
          <w:rFonts w:hint="eastAsia" w:asciiTheme="minorEastAsia" w:hAnsiTheme="minorEastAsia" w:eastAsiaTheme="minorEastAsia"/>
          <w:sz w:val="24"/>
          <w:szCs w:val="24"/>
        </w:rPr>
        <w:t>%；</w:t>
      </w:r>
    </w:p>
    <w:p w14:paraId="40065A97">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加速度：可数字输入，梯度0.5゜/s</w:t>
      </w:r>
      <w:r>
        <w:rPr>
          <w:rFonts w:hint="eastAsia" w:asciiTheme="minorEastAsia" w:hAnsiTheme="minorEastAsia" w:eastAsiaTheme="minorEastAsia"/>
          <w:sz w:val="24"/>
          <w:szCs w:val="24"/>
          <w:vertAlign w:val="superscript"/>
        </w:rPr>
        <w:t>2</w:t>
      </w:r>
      <w:r>
        <w:rPr>
          <w:rFonts w:hint="eastAsia" w:asciiTheme="minorEastAsia" w:hAnsiTheme="minorEastAsia" w:eastAsiaTheme="minorEastAsia"/>
          <w:sz w:val="24"/>
          <w:szCs w:val="24"/>
        </w:rPr>
        <w:t>，最大180゜/s</w:t>
      </w:r>
      <w:r>
        <w:rPr>
          <w:rFonts w:hint="eastAsia" w:asciiTheme="minorEastAsia" w:hAnsiTheme="minorEastAsia" w:eastAsiaTheme="minorEastAsia"/>
          <w:sz w:val="24"/>
          <w:szCs w:val="24"/>
          <w:vertAlign w:val="superscript"/>
        </w:rPr>
        <w:t>2</w:t>
      </w:r>
      <w:r>
        <w:rPr>
          <w:rFonts w:hint="eastAsia" w:asciiTheme="minorEastAsia" w:hAnsiTheme="minorEastAsia" w:eastAsiaTheme="minorEastAsia"/>
          <w:sz w:val="24"/>
          <w:szCs w:val="24"/>
        </w:rPr>
        <w:t>，误差≤5%。</w:t>
      </w:r>
    </w:p>
    <w:p w14:paraId="42F2EB1D">
      <w:pPr>
        <w:spacing w:line="440" w:lineRule="exact"/>
        <w:ind w:left="358" w:firstLine="60" w:firstLineChars="25"/>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3.2、辅轴</w:t>
      </w:r>
    </w:p>
    <w:p w14:paraId="74B639F2">
      <w:pPr>
        <w:spacing w:line="440" w:lineRule="exact"/>
        <w:ind w:left="358" w:firstLine="60" w:firstLineChars="25"/>
        <w:rPr>
          <w:rFonts w:asciiTheme="minorEastAsia" w:hAnsiTheme="minorEastAsia" w:eastAsiaTheme="minorEastAsia"/>
          <w:b/>
          <w:bCs/>
          <w:sz w:val="24"/>
          <w:szCs w:val="24"/>
        </w:rPr>
      </w:pPr>
      <w:r>
        <w:rPr>
          <w:rFonts w:hint="eastAsia" w:asciiTheme="minorEastAsia" w:hAnsiTheme="minorEastAsia" w:eastAsiaTheme="minorEastAsia"/>
          <w:sz w:val="24"/>
          <w:szCs w:val="24"/>
        </w:rPr>
        <w:t>辅转动轴处于与主转动轴垂直方向。</w:t>
      </w:r>
    </w:p>
    <w:p w14:paraId="0F79D5D9">
      <w:pPr>
        <w:spacing w:line="440" w:lineRule="exact"/>
        <w:ind w:left="358" w:firstLine="60" w:firstLineChars="25"/>
        <w:rPr>
          <w:rFonts w:asciiTheme="minorEastAsia" w:hAnsiTheme="minorEastAsia" w:eastAsiaTheme="minorEastAsia"/>
          <w:b/>
          <w:bCs/>
          <w:sz w:val="24"/>
          <w:szCs w:val="24"/>
        </w:rPr>
      </w:pPr>
      <w:r>
        <w:rPr>
          <w:rFonts w:hint="eastAsia" w:asciiTheme="minorEastAsia" w:hAnsiTheme="minorEastAsia" w:eastAsiaTheme="minorEastAsia"/>
          <w:sz w:val="24"/>
          <w:szCs w:val="24"/>
        </w:rPr>
        <w:t>转动角度：不限，梯度1゜，误差≤</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p>
    <w:p w14:paraId="7A0E71E8">
      <w:pPr>
        <w:spacing w:line="440" w:lineRule="exact"/>
        <w:ind w:left="358" w:firstLine="60" w:firstLineChars="25"/>
        <w:rPr>
          <w:rFonts w:asciiTheme="minorEastAsia" w:hAnsiTheme="minorEastAsia" w:eastAsiaTheme="minorEastAsia"/>
          <w:b/>
          <w:bCs/>
          <w:sz w:val="24"/>
          <w:szCs w:val="24"/>
        </w:rPr>
      </w:pPr>
      <w:r>
        <w:rPr>
          <w:rFonts w:hint="eastAsia" w:asciiTheme="minorEastAsia" w:hAnsiTheme="minorEastAsia" w:eastAsiaTheme="minorEastAsia"/>
          <w:sz w:val="24"/>
          <w:szCs w:val="24"/>
        </w:rPr>
        <w:t>转速：可数字输入，梯度 1゜/s，最大180 ゜/s，误差≤</w:t>
      </w:r>
      <w:r>
        <w:rPr>
          <w:rFonts w:asciiTheme="minorEastAsia" w:hAnsiTheme="minorEastAsia" w:eastAsiaTheme="minorEastAsia"/>
          <w:sz w:val="24"/>
          <w:szCs w:val="24"/>
        </w:rPr>
        <w:t>5</w:t>
      </w:r>
      <w:r>
        <w:rPr>
          <w:rFonts w:hint="eastAsia" w:asciiTheme="minorEastAsia" w:hAnsiTheme="minorEastAsia" w:eastAsiaTheme="minorEastAsia"/>
          <w:sz w:val="24"/>
          <w:szCs w:val="24"/>
        </w:rPr>
        <w:t>%；</w:t>
      </w:r>
    </w:p>
    <w:p w14:paraId="3EC632AD">
      <w:pPr>
        <w:spacing w:line="440" w:lineRule="exact"/>
        <w:ind w:left="358" w:firstLine="60" w:firstLineChars="25"/>
        <w:rPr>
          <w:rFonts w:asciiTheme="minorEastAsia" w:hAnsiTheme="minorEastAsia" w:eastAsiaTheme="minorEastAsia"/>
          <w:b/>
          <w:bCs/>
          <w:sz w:val="24"/>
          <w:szCs w:val="24"/>
        </w:rPr>
      </w:pPr>
      <w:r>
        <w:rPr>
          <w:rFonts w:hint="eastAsia" w:asciiTheme="minorEastAsia" w:hAnsiTheme="minorEastAsia" w:eastAsiaTheme="minorEastAsia"/>
          <w:sz w:val="24"/>
          <w:szCs w:val="24"/>
        </w:rPr>
        <w:t>加速度：可数字输入，梯度0.5゜/s</w:t>
      </w:r>
      <w:r>
        <w:rPr>
          <w:rFonts w:asciiTheme="minorEastAsia" w:hAnsiTheme="minorEastAsia" w:eastAsiaTheme="minorEastAsia"/>
          <w:sz w:val="24"/>
          <w:szCs w:val="24"/>
          <w:vertAlign w:val="superscript"/>
        </w:rPr>
        <w:t>2</w:t>
      </w:r>
      <w:r>
        <w:rPr>
          <w:rFonts w:hint="eastAsia" w:asciiTheme="minorEastAsia" w:hAnsiTheme="minorEastAsia" w:eastAsiaTheme="minorEastAsia"/>
          <w:sz w:val="24"/>
          <w:szCs w:val="24"/>
        </w:rPr>
        <w:t>，最大180゜/s</w:t>
      </w:r>
      <w:r>
        <w:rPr>
          <w:rFonts w:asciiTheme="minorEastAsia" w:hAnsiTheme="minorEastAsia" w:eastAsiaTheme="minorEastAsia"/>
          <w:sz w:val="24"/>
          <w:szCs w:val="24"/>
          <w:vertAlign w:val="superscript"/>
        </w:rPr>
        <w:t>2</w:t>
      </w:r>
      <w:r>
        <w:rPr>
          <w:rFonts w:hint="eastAsia" w:asciiTheme="minorEastAsia" w:hAnsiTheme="minorEastAsia" w:eastAsiaTheme="minorEastAsia"/>
          <w:sz w:val="24"/>
          <w:szCs w:val="24"/>
        </w:rPr>
        <w:t>，误差≤5%。</w:t>
      </w:r>
    </w:p>
    <w:p w14:paraId="024788A2">
      <w:pPr>
        <w:spacing w:line="440" w:lineRule="exact"/>
        <w:ind w:left="42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3.3、患者座椅</w:t>
      </w:r>
    </w:p>
    <w:p w14:paraId="3ADEBFBF">
      <w:pPr>
        <w:spacing w:line="440" w:lineRule="exact"/>
        <w:ind w:left="1559" w:leftChars="171" w:hanging="1200" w:hangingChars="500"/>
        <w:rPr>
          <w:rFonts w:asciiTheme="minorEastAsia" w:hAnsiTheme="minorEastAsia" w:eastAsiaTheme="minorEastAsia"/>
          <w:sz w:val="24"/>
          <w:szCs w:val="24"/>
        </w:rPr>
      </w:pPr>
      <w:r>
        <w:rPr>
          <w:rFonts w:hint="eastAsia" w:asciiTheme="minorEastAsia" w:hAnsiTheme="minorEastAsia" w:eastAsiaTheme="minorEastAsia"/>
          <w:sz w:val="24"/>
          <w:szCs w:val="24"/>
        </w:rPr>
        <w:t>具有</w:t>
      </w:r>
      <w:r>
        <w:rPr>
          <w:rFonts w:asciiTheme="minorEastAsia" w:hAnsiTheme="minorEastAsia" w:eastAsiaTheme="minorEastAsia"/>
          <w:sz w:val="24"/>
          <w:szCs w:val="24"/>
        </w:rPr>
        <w:t>9</w:t>
      </w:r>
      <w:r>
        <w:rPr>
          <w:rFonts w:hint="eastAsia" w:asciiTheme="minorEastAsia" w:hAnsiTheme="minorEastAsia" w:eastAsiaTheme="minorEastAsia"/>
          <w:sz w:val="24"/>
          <w:szCs w:val="24"/>
        </w:rPr>
        <w:t>道航空插扣式安全带，分别固定人体背、胸、腹、大腿、小腿；</w:t>
      </w:r>
    </w:p>
    <w:p w14:paraId="39C557DA">
      <w:pPr>
        <w:spacing w:line="440" w:lineRule="exact"/>
        <w:rPr>
          <w:rFonts w:asciiTheme="minorEastAsia" w:hAnsiTheme="minorEastAsia" w:eastAsiaTheme="minorEastAsia"/>
          <w:sz w:val="24"/>
          <w:szCs w:val="24"/>
        </w:rPr>
      </w:pPr>
      <w:r>
        <w:rPr>
          <w:rFonts w:hint="eastAsia" w:asciiTheme="minorEastAsia" w:hAnsiTheme="minorEastAsia" w:eastAsiaTheme="minorEastAsia"/>
          <w:b/>
          <w:bCs/>
          <w:sz w:val="24"/>
          <w:szCs w:val="24"/>
        </w:rPr>
        <w:t>4. 头位装置</w:t>
      </w:r>
    </w:p>
    <w:p w14:paraId="45A1BFEA">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直立及前倾30゜自由转换，无需另加头垫。</w:t>
      </w:r>
    </w:p>
    <w:p w14:paraId="4E2AC32F">
      <w:pPr>
        <w:spacing w:line="440" w:lineRule="exact"/>
        <w:rPr>
          <w:rFonts w:asciiTheme="minorEastAsia" w:hAnsiTheme="minorEastAsia" w:eastAsiaTheme="minorEastAsia"/>
          <w:sz w:val="24"/>
          <w:szCs w:val="24"/>
        </w:rPr>
      </w:pPr>
      <w:r>
        <w:rPr>
          <w:rFonts w:hint="eastAsia" w:asciiTheme="minorEastAsia" w:hAnsiTheme="minorEastAsia" w:eastAsiaTheme="minorEastAsia"/>
          <w:b/>
          <w:bCs/>
          <w:sz w:val="24"/>
          <w:szCs w:val="24"/>
        </w:rPr>
        <w:t>5. 指示灯</w:t>
      </w:r>
    </w:p>
    <w:p w14:paraId="0075D556">
      <w:pPr>
        <w:spacing w:line="440" w:lineRule="exact"/>
        <w:ind w:firstLine="361"/>
        <w:rPr>
          <w:rFonts w:asciiTheme="minorEastAsia" w:hAnsiTheme="minorEastAsia" w:eastAsiaTheme="minorEastAsia"/>
          <w:sz w:val="24"/>
          <w:szCs w:val="24"/>
        </w:rPr>
      </w:pPr>
      <w:r>
        <w:rPr>
          <w:rFonts w:hint="eastAsia" w:asciiTheme="minorEastAsia" w:hAnsiTheme="minorEastAsia" w:eastAsiaTheme="minorEastAsia"/>
          <w:sz w:val="24"/>
          <w:szCs w:val="24"/>
        </w:rPr>
        <w:t>具有4个三色指示灯，实时指示系统各部分状态。</w:t>
      </w:r>
    </w:p>
    <w:p w14:paraId="089A99AD">
      <w:pPr>
        <w:spacing w:line="440" w:lineRule="exact"/>
        <w:ind w:left="361" w:hanging="361" w:hangingChars="15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6. 眼罩</w:t>
      </w:r>
    </w:p>
    <w:p w14:paraId="6403F1A8">
      <w:pPr>
        <w:spacing w:line="440" w:lineRule="exact"/>
        <w:ind w:left="360"/>
        <w:rPr>
          <w:rFonts w:asciiTheme="minorEastAsia" w:hAnsiTheme="minorEastAsia" w:eastAsiaTheme="minorEastAsia"/>
          <w:b/>
          <w:bCs/>
          <w:sz w:val="24"/>
          <w:szCs w:val="24"/>
        </w:rPr>
      </w:pPr>
      <w:r>
        <w:rPr>
          <w:rFonts w:hint="eastAsia" w:asciiTheme="minorEastAsia" w:hAnsiTheme="minorEastAsia" w:eastAsiaTheme="minorEastAsia"/>
          <w:sz w:val="24"/>
          <w:szCs w:val="24"/>
        </w:rPr>
        <w:t>具有两个红外高清摄像头；具有两个固视抑制灯，可进行固视抑制试验；双眼视频图像可左右任意切换。</w:t>
      </w:r>
    </w:p>
    <w:p w14:paraId="32269FCF">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b/>
          <w:bCs/>
          <w:sz w:val="24"/>
          <w:szCs w:val="24"/>
        </w:rPr>
        <w:t>7</w:t>
      </w:r>
      <w:r>
        <w:rPr>
          <w:rFonts w:cs="宋体" w:asciiTheme="minorEastAsia" w:hAnsiTheme="minorEastAsia" w:eastAsiaTheme="minorEastAsia"/>
          <w:b/>
          <w:bCs/>
          <w:sz w:val="24"/>
          <w:szCs w:val="24"/>
        </w:rPr>
        <w:t xml:space="preserve">. </w:t>
      </w:r>
      <w:r>
        <w:rPr>
          <w:rFonts w:hint="eastAsia" w:cs="宋体" w:asciiTheme="minorEastAsia" w:hAnsiTheme="minorEastAsia" w:eastAsiaTheme="minorEastAsia"/>
          <w:b/>
          <w:bCs/>
          <w:sz w:val="24"/>
          <w:szCs w:val="24"/>
        </w:rPr>
        <w:t>辅助装置</w:t>
      </w:r>
    </w:p>
    <w:p w14:paraId="3DAF435D">
      <w:pPr>
        <w:spacing w:line="440" w:lineRule="exact"/>
        <w:ind w:firstLine="42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配有厂家指定的心电血压监测模块，可辅助进行立位耐力试验。</w:t>
      </w:r>
    </w:p>
    <w:p w14:paraId="6D63AB00">
      <w:pPr>
        <w:spacing w:line="44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8. 控制台</w:t>
      </w:r>
    </w:p>
    <w:p w14:paraId="63FF332A">
      <w:pPr>
        <w:spacing w:line="440" w:lineRule="exact"/>
        <w:ind w:firstLine="420"/>
        <w:rPr>
          <w:rFonts w:asciiTheme="minorEastAsia" w:hAnsiTheme="minorEastAsia" w:eastAsiaTheme="minorEastAsia"/>
          <w:b/>
          <w:bCs/>
          <w:sz w:val="24"/>
          <w:szCs w:val="24"/>
        </w:rPr>
      </w:pPr>
      <w:r>
        <w:rPr>
          <w:rFonts w:asciiTheme="minorEastAsia" w:hAnsiTheme="minorEastAsia" w:eastAsiaTheme="minorEastAsia"/>
          <w:b/>
          <w:bCs/>
          <w:sz w:val="24"/>
          <w:szCs w:val="24"/>
        </w:rPr>
        <w:t>8.1</w:t>
      </w:r>
      <w:r>
        <w:rPr>
          <w:rFonts w:hint="eastAsia" w:asciiTheme="minorEastAsia" w:hAnsiTheme="minorEastAsia" w:eastAsiaTheme="minorEastAsia"/>
          <w:b/>
          <w:bCs/>
          <w:sz w:val="24"/>
          <w:szCs w:val="24"/>
        </w:rPr>
        <w:t>、显示器</w:t>
      </w:r>
    </w:p>
    <w:p w14:paraId="4DEE94E3">
      <w:pPr>
        <w:spacing w:line="440" w:lineRule="exact"/>
        <w:ind w:left="420"/>
        <w:rPr>
          <w:rFonts w:asciiTheme="minorEastAsia" w:hAnsiTheme="minorEastAsia" w:eastAsiaTheme="minorEastAsia"/>
          <w:sz w:val="24"/>
          <w:szCs w:val="24"/>
        </w:rPr>
      </w:pPr>
      <w:r>
        <w:rPr>
          <w:rFonts w:hint="eastAsia" w:asciiTheme="minorEastAsia" w:hAnsiTheme="minorEastAsia" w:eastAsiaTheme="minorEastAsia"/>
          <w:sz w:val="24"/>
          <w:szCs w:val="24"/>
        </w:rPr>
        <w:t>具有两个不小于23.8〞LCD显示器，分别用于显示软件操作界面和全屏显示眼部视频。</w:t>
      </w:r>
    </w:p>
    <w:p w14:paraId="4254BDDF">
      <w:pPr>
        <w:spacing w:line="440" w:lineRule="exact"/>
        <w:ind w:firstLine="42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8.2、控制台电脑</w:t>
      </w:r>
    </w:p>
    <w:p w14:paraId="2DBD857A">
      <w:pPr>
        <w:pStyle w:val="8"/>
        <w:spacing w:line="440" w:lineRule="exact"/>
        <w:ind w:left="426"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i5</w:t>
      </w:r>
      <w:bookmarkStart w:id="0" w:name="_Hlk171423184"/>
      <w:r>
        <w:rPr>
          <w:rFonts w:hint="eastAsia" w:asciiTheme="minorEastAsia" w:hAnsiTheme="minorEastAsia" w:eastAsiaTheme="minorEastAsia"/>
          <w:sz w:val="24"/>
          <w:szCs w:val="24"/>
        </w:rPr>
        <w:t>-12</w:t>
      </w:r>
      <w:bookmarkEnd w:id="0"/>
      <w:r>
        <w:rPr>
          <w:rFonts w:hint="eastAsia" w:asciiTheme="minorEastAsia" w:hAnsiTheme="minorEastAsia" w:eastAsiaTheme="minorEastAsia"/>
          <w:sz w:val="24"/>
          <w:szCs w:val="24"/>
        </w:rPr>
        <w:t>代及以上处理器，内存不少于16GB，硬盘不小于1T。</w:t>
      </w:r>
    </w:p>
    <w:p w14:paraId="5E9E7DD0">
      <w:pPr>
        <w:pStyle w:val="8"/>
        <w:spacing w:line="440" w:lineRule="exact"/>
        <w:ind w:left="426" w:firstLine="0" w:firstLineChars="0"/>
        <w:rPr>
          <w:rFonts w:asciiTheme="minorEastAsia" w:hAnsiTheme="minorEastAsia" w:eastAsiaTheme="minorEastAsia"/>
          <w:sz w:val="24"/>
          <w:szCs w:val="24"/>
        </w:rPr>
      </w:pPr>
      <w:r>
        <w:rPr>
          <w:rFonts w:asciiTheme="minorEastAsia" w:hAnsiTheme="minorEastAsia" w:eastAsiaTheme="minorEastAsia"/>
          <w:b/>
          <w:bCs/>
          <w:sz w:val="24"/>
          <w:szCs w:val="24"/>
        </w:rPr>
        <w:t>8.3</w:t>
      </w:r>
      <w:r>
        <w:rPr>
          <w:rFonts w:hint="eastAsia" w:asciiTheme="minorEastAsia" w:hAnsiTheme="minorEastAsia" w:eastAsiaTheme="minorEastAsia"/>
          <w:b/>
          <w:bCs/>
          <w:sz w:val="24"/>
          <w:szCs w:val="24"/>
        </w:rPr>
        <w:t>、其他</w:t>
      </w:r>
    </w:p>
    <w:p w14:paraId="77739104">
      <w:pPr>
        <w:pStyle w:val="8"/>
        <w:spacing w:line="440" w:lineRule="exact"/>
        <w:ind w:left="426"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配有扬声器，用于提醒患者下一步转动计划，以及播放背景音乐；</w:t>
      </w:r>
    </w:p>
    <w:p w14:paraId="386A7EBC">
      <w:pPr>
        <w:pStyle w:val="8"/>
        <w:spacing w:line="440" w:lineRule="exact"/>
        <w:ind w:left="426"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配有彩色激光打印机；</w:t>
      </w:r>
    </w:p>
    <w:p w14:paraId="4DC623B9">
      <w:pPr>
        <w:pStyle w:val="8"/>
        <w:spacing w:line="440" w:lineRule="exact"/>
        <w:ind w:left="426"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配有遥控装置，方便医生遥控下一步操作。</w:t>
      </w:r>
    </w:p>
    <w:p w14:paraId="76ECDDA2">
      <w:pPr>
        <w:spacing w:line="44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9. 软件</w:t>
      </w:r>
    </w:p>
    <w:p w14:paraId="4C6C1B76">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预装正版W</w:t>
      </w:r>
      <w:r>
        <w:rPr>
          <w:rFonts w:asciiTheme="minorEastAsia" w:hAnsiTheme="minorEastAsia" w:eastAsiaTheme="minorEastAsia"/>
          <w:sz w:val="24"/>
          <w:szCs w:val="24"/>
        </w:rPr>
        <w:t>indows</w:t>
      </w:r>
      <w:r>
        <w:rPr>
          <w:rFonts w:hint="eastAsia" w:asciiTheme="minorEastAsia" w:hAnsiTheme="minorEastAsia" w:eastAsiaTheme="minorEastAsia"/>
          <w:sz w:val="24"/>
          <w:szCs w:val="24"/>
        </w:rPr>
        <w:t>操作系统、系统组件、设备驱动，以及设备控制软件。</w:t>
      </w:r>
    </w:p>
    <w:p w14:paraId="6F1593BD">
      <w:pPr>
        <w:spacing w:line="440" w:lineRule="exact"/>
        <w:ind w:firstLine="420"/>
        <w:rPr>
          <w:rFonts w:asciiTheme="minorEastAsia" w:hAnsiTheme="minorEastAsia" w:eastAsiaTheme="minorEastAsia"/>
          <w:b/>
          <w:bCs/>
          <w:sz w:val="24"/>
          <w:szCs w:val="24"/>
        </w:rPr>
      </w:pPr>
      <w:r>
        <w:rPr>
          <w:rFonts w:asciiTheme="minorEastAsia" w:hAnsiTheme="minorEastAsia" w:eastAsiaTheme="minorEastAsia"/>
          <w:b/>
          <w:bCs/>
          <w:sz w:val="24"/>
          <w:szCs w:val="24"/>
        </w:rPr>
        <w:t>9.1</w:t>
      </w:r>
      <w:r>
        <w:rPr>
          <w:rFonts w:hint="eastAsia" w:asciiTheme="minorEastAsia" w:hAnsiTheme="minorEastAsia" w:eastAsiaTheme="minorEastAsia"/>
          <w:b/>
          <w:bCs/>
          <w:sz w:val="24"/>
          <w:szCs w:val="24"/>
        </w:rPr>
        <w:t>、诊疗方案</w:t>
      </w:r>
    </w:p>
    <w:p w14:paraId="6AC2B9BE">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具有</w:t>
      </w:r>
      <w:r>
        <w:rPr>
          <w:rFonts w:asciiTheme="minorEastAsia" w:hAnsiTheme="minorEastAsia" w:eastAsiaTheme="minorEastAsia"/>
          <w:sz w:val="24"/>
          <w:szCs w:val="24"/>
        </w:rPr>
        <w:t>5</w:t>
      </w:r>
      <w:r>
        <w:rPr>
          <w:rFonts w:hint="eastAsia" w:asciiTheme="minorEastAsia" w:hAnsiTheme="minorEastAsia" w:eastAsiaTheme="minorEastAsia"/>
          <w:sz w:val="24"/>
          <w:szCs w:val="24"/>
        </w:rPr>
        <w:t>0个以上诊断、治疗、检查方案；</w:t>
      </w:r>
    </w:p>
    <w:p w14:paraId="6C37D81C">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用户可自设诊断、治疗、检查方案，所有方案可预览、修改、存档；</w:t>
      </w:r>
    </w:p>
    <w:p w14:paraId="256F28E8">
      <w:pPr>
        <w:spacing w:line="440" w:lineRule="exact"/>
        <w:ind w:left="420"/>
        <w:rPr>
          <w:rFonts w:asciiTheme="minorEastAsia" w:hAnsiTheme="minorEastAsia" w:eastAsiaTheme="minorEastAsia"/>
          <w:sz w:val="24"/>
          <w:szCs w:val="24"/>
        </w:rPr>
      </w:pPr>
      <w:r>
        <w:rPr>
          <w:rFonts w:hint="eastAsia" w:asciiTheme="minorEastAsia" w:hAnsiTheme="minorEastAsia" w:eastAsiaTheme="minorEastAsia"/>
          <w:sz w:val="24"/>
          <w:szCs w:val="24"/>
        </w:rPr>
        <w:t>诊断、治疗、检查的全部过程，包括患者基本信息，采用的运动模式，原始数据、视频、眼震曲线均可存档、调研、备份；</w:t>
      </w:r>
    </w:p>
    <w:p w14:paraId="610A5564">
      <w:pPr>
        <w:spacing w:line="440" w:lineRule="exact"/>
        <w:ind w:firstLine="420"/>
        <w:rPr>
          <w:rFonts w:asciiTheme="minorEastAsia" w:hAnsiTheme="minorEastAsia" w:eastAsiaTheme="minorEastAsia"/>
          <w:sz w:val="24"/>
          <w:szCs w:val="24"/>
        </w:rPr>
      </w:pPr>
      <w:r>
        <w:rPr>
          <w:rFonts w:hint="eastAsia" w:asciiTheme="minorEastAsia" w:hAnsiTheme="minorEastAsia" w:eastAsiaTheme="minorEastAsia"/>
          <w:sz w:val="24"/>
          <w:szCs w:val="24"/>
        </w:rPr>
        <w:t>诊疗界面具有语音播报诊疗动作的功能和自动执行诊疗方案的功能。</w:t>
      </w:r>
    </w:p>
    <w:p w14:paraId="2BE28DF2">
      <w:pPr>
        <w:spacing w:line="440" w:lineRule="exact"/>
        <w:ind w:firstLine="42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9</w:t>
      </w:r>
      <w:r>
        <w:rPr>
          <w:rFonts w:asciiTheme="minorEastAsia" w:hAnsiTheme="minorEastAsia" w:eastAsiaTheme="minorEastAsia"/>
          <w:b/>
          <w:bCs/>
          <w:sz w:val="24"/>
          <w:szCs w:val="24"/>
        </w:rPr>
        <w:t>.2</w:t>
      </w:r>
      <w:r>
        <w:rPr>
          <w:rFonts w:hint="eastAsia" w:asciiTheme="minorEastAsia" w:hAnsiTheme="minorEastAsia" w:eastAsiaTheme="minorEastAsia"/>
          <w:b/>
          <w:bCs/>
          <w:sz w:val="24"/>
          <w:szCs w:val="24"/>
        </w:rPr>
        <w:t>、分析研判</w:t>
      </w:r>
    </w:p>
    <w:p w14:paraId="67006754">
      <w:pPr>
        <w:spacing w:line="440" w:lineRule="exact"/>
        <w:ind w:left="1140" w:leftChars="200" w:hanging="720" w:hangingChars="300"/>
        <w:rPr>
          <w:rFonts w:asciiTheme="minorEastAsia" w:hAnsiTheme="minorEastAsia" w:eastAsiaTheme="minorEastAsia"/>
          <w:sz w:val="24"/>
          <w:szCs w:val="24"/>
        </w:rPr>
      </w:pPr>
      <w:r>
        <w:rPr>
          <w:rFonts w:hint="eastAsia" w:asciiTheme="minorEastAsia" w:hAnsiTheme="minorEastAsia" w:eastAsiaTheme="minorEastAsia"/>
          <w:sz w:val="24"/>
          <w:szCs w:val="24"/>
        </w:rPr>
        <w:t>眼部视频、耳蜗位置图、座椅位置图、眼震曲线、体位曲线同步显示；</w:t>
      </w:r>
    </w:p>
    <w:p w14:paraId="612A3CF9">
      <w:pPr>
        <w:spacing w:line="440" w:lineRule="exact"/>
        <w:ind w:left="420" w:leftChars="200"/>
        <w:rPr>
          <w:rFonts w:asciiTheme="minorEastAsia" w:hAnsiTheme="minorEastAsia" w:eastAsiaTheme="minorEastAsia"/>
          <w:sz w:val="24"/>
          <w:szCs w:val="24"/>
        </w:rPr>
      </w:pPr>
      <w:r>
        <w:rPr>
          <w:rFonts w:hint="eastAsia" w:asciiTheme="minorEastAsia" w:hAnsiTheme="minorEastAsia" w:eastAsiaTheme="minorEastAsia"/>
          <w:sz w:val="24"/>
          <w:szCs w:val="24"/>
        </w:rPr>
        <w:t>可分析眼震个数、眼震频率、慢相速度、快相速度、衰减时间常数、增益、相位差、不对称性等眼震参数；</w:t>
      </w:r>
    </w:p>
    <w:p w14:paraId="281791F3">
      <w:pPr>
        <w:spacing w:line="440" w:lineRule="exact"/>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10.应急装置</w:t>
      </w:r>
    </w:p>
    <w:p w14:paraId="2EAEF290">
      <w:pPr>
        <w:pStyle w:val="9"/>
        <w:spacing w:line="440" w:lineRule="exact"/>
        <w:ind w:left="426"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在诊疗主机侧面和后面、地台、电脑软件上都具有应急停止开关或键钮；</w:t>
      </w:r>
    </w:p>
    <w:p w14:paraId="40BB3E00">
      <w:pPr>
        <w:pStyle w:val="9"/>
        <w:spacing w:line="440" w:lineRule="exact"/>
        <w:ind w:left="1255" w:leftChars="200" w:hanging="835" w:hangingChars="348"/>
        <w:rPr>
          <w:rFonts w:asciiTheme="minorEastAsia" w:hAnsiTheme="minorEastAsia" w:eastAsiaTheme="minorEastAsia"/>
          <w:sz w:val="24"/>
          <w:szCs w:val="24"/>
        </w:rPr>
      </w:pPr>
      <w:r>
        <w:rPr>
          <w:rFonts w:hint="eastAsia" w:asciiTheme="minorEastAsia" w:hAnsiTheme="minorEastAsia" w:eastAsiaTheme="minorEastAsia"/>
          <w:sz w:val="24"/>
          <w:szCs w:val="24"/>
        </w:rPr>
        <w:t>配有应急电源。在UPS未充电时，可用于解锁安全杠、主轴；</w:t>
      </w:r>
    </w:p>
    <w:p w14:paraId="29831422">
      <w:pPr>
        <w:pStyle w:val="9"/>
        <w:spacing w:line="440" w:lineRule="exact"/>
        <w:ind w:left="420" w:leftChars="200" w:firstLine="0" w:firstLineChars="0"/>
        <w:rPr>
          <w:rFonts w:cs="宋体" w:asciiTheme="minorEastAsia" w:hAnsiTheme="minorEastAsia" w:eastAsiaTheme="minorEastAsia"/>
          <w:sz w:val="24"/>
          <w:szCs w:val="24"/>
        </w:rPr>
      </w:pPr>
      <w:r>
        <w:rPr>
          <w:rFonts w:hint="eastAsia" w:asciiTheme="minorEastAsia" w:hAnsiTheme="minorEastAsia" w:eastAsiaTheme="minorEastAsia"/>
          <w:sz w:val="24"/>
          <w:szCs w:val="24"/>
        </w:rPr>
        <w:t>具有</w:t>
      </w:r>
      <w:r>
        <w:rPr>
          <w:rFonts w:hint="eastAsia" w:cs="宋体" w:asciiTheme="minorEastAsia" w:hAnsiTheme="minorEastAsia" w:eastAsiaTheme="minorEastAsia"/>
          <w:sz w:val="24"/>
          <w:szCs w:val="24"/>
        </w:rPr>
        <w:t>防误入监测功能。当设备运转时，如有人员或物品误入诊疗区，设备会立刻停止转动。</w:t>
      </w:r>
    </w:p>
    <w:p w14:paraId="01D84452">
      <w:pPr>
        <w:pStyle w:val="10"/>
        <w:numPr>
          <w:ilvl w:val="0"/>
          <w:numId w:val="2"/>
        </w:numPr>
        <w:tabs>
          <w:tab w:val="left" w:pos="142"/>
          <w:tab w:val="left" w:pos="420"/>
        </w:tabs>
        <w:spacing w:line="440" w:lineRule="exact"/>
        <w:ind w:firstLine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 xml:space="preserve"> 供电</w:t>
      </w:r>
    </w:p>
    <w:p w14:paraId="5084F389">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使用医院墙壁电源（市电） AC 220V 50Hz；</w:t>
      </w:r>
    </w:p>
    <w:p w14:paraId="3C2352C0">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配有整机UPS 电源，容量3000VA</w:t>
      </w:r>
      <w:r>
        <w:rPr>
          <w:rFonts w:asciiTheme="minorEastAsia" w:hAnsiTheme="minorEastAsia" w:eastAsiaTheme="minorEastAsia"/>
          <w:sz w:val="24"/>
          <w:szCs w:val="24"/>
        </w:rPr>
        <w:t>/2400W</w:t>
      </w:r>
      <w:r>
        <w:rPr>
          <w:rFonts w:hint="eastAsia" w:asciiTheme="minorEastAsia" w:hAnsiTheme="minorEastAsia" w:eastAsiaTheme="minorEastAsia"/>
          <w:sz w:val="24"/>
          <w:szCs w:val="24"/>
        </w:rPr>
        <w:t>。在</w:t>
      </w:r>
      <w:bookmarkStart w:id="1" w:name="_Hlk171424289"/>
      <w:r>
        <w:rPr>
          <w:rFonts w:hint="eastAsia" w:asciiTheme="minorEastAsia" w:hAnsiTheme="minorEastAsia" w:eastAsiaTheme="minorEastAsia"/>
          <w:sz w:val="24"/>
          <w:szCs w:val="24"/>
        </w:rPr>
        <w:t>市电</w:t>
      </w:r>
      <w:bookmarkEnd w:id="1"/>
      <w:r>
        <w:rPr>
          <w:rFonts w:hint="eastAsia" w:asciiTheme="minorEastAsia" w:hAnsiTheme="minorEastAsia" w:eastAsiaTheme="minorEastAsia"/>
          <w:sz w:val="24"/>
          <w:szCs w:val="24"/>
        </w:rPr>
        <w:t>断电情况下，</w:t>
      </w:r>
      <w:bookmarkStart w:id="2" w:name="_Hlk171424313"/>
      <w:r>
        <w:rPr>
          <w:rFonts w:hint="eastAsia" w:asciiTheme="minorEastAsia" w:hAnsiTheme="minorEastAsia" w:eastAsiaTheme="minorEastAsia"/>
          <w:sz w:val="24"/>
          <w:szCs w:val="24"/>
        </w:rPr>
        <w:t>可</w:t>
      </w:r>
      <w:bookmarkEnd w:id="2"/>
      <w:r>
        <w:rPr>
          <w:rFonts w:hint="eastAsia" w:asciiTheme="minorEastAsia" w:hAnsiTheme="minorEastAsia" w:eastAsiaTheme="minorEastAsia"/>
          <w:sz w:val="24"/>
          <w:szCs w:val="24"/>
        </w:rPr>
        <w:t>维持整机系统（主机、控制台、眼罩）正常工作30分钟。</w:t>
      </w:r>
    </w:p>
    <w:p w14:paraId="33C4E6E2">
      <w:pPr>
        <w:pStyle w:val="10"/>
        <w:numPr>
          <w:ilvl w:val="0"/>
          <w:numId w:val="2"/>
        </w:numPr>
        <w:tabs>
          <w:tab w:val="left" w:pos="142"/>
          <w:tab w:val="left" w:pos="420"/>
        </w:tabs>
        <w:spacing w:line="440" w:lineRule="exact"/>
        <w:ind w:firstLineChars="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配置要求</w:t>
      </w:r>
    </w:p>
    <w:p w14:paraId="5F6D2F7A">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主机1台</w:t>
      </w:r>
    </w:p>
    <w:p w14:paraId="3D848E91">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微型计算机1台      </w:t>
      </w:r>
    </w:p>
    <w:p w14:paraId="4EB77C39">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激光打印机1台 </w:t>
      </w:r>
    </w:p>
    <w:p w14:paraId="0E0EDAEE">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显示器2台 </w:t>
      </w:r>
    </w:p>
    <w:p w14:paraId="3E26993A">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不间断电源1台</w:t>
      </w:r>
    </w:p>
    <w:p w14:paraId="51D130C7">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心电血压一体机</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1台</w:t>
      </w:r>
    </w:p>
    <w:p w14:paraId="7FAA2722">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扬声器</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2台</w:t>
      </w:r>
    </w:p>
    <w:p w14:paraId="7B304804">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遥控笔</w:t>
      </w: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1支</w:t>
      </w:r>
    </w:p>
    <w:p w14:paraId="429F8591">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眼罩1个</w:t>
      </w:r>
    </w:p>
    <w:p w14:paraId="479DD54F">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儿童座椅1套</w:t>
      </w:r>
    </w:p>
    <w:p w14:paraId="5ABF95D7">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坐垫2个</w:t>
      </w:r>
    </w:p>
    <w:p w14:paraId="02DE3BFB">
      <w:pPr>
        <w:pStyle w:val="10"/>
        <w:tabs>
          <w:tab w:val="left" w:pos="142"/>
          <w:tab w:val="left" w:pos="420"/>
        </w:tabs>
        <w:spacing w:line="440" w:lineRule="exact"/>
        <w:ind w:left="360" w:firstLine="0" w:firstLineChars="0"/>
        <w:rPr>
          <w:rFonts w:asciiTheme="minorEastAsia" w:hAnsiTheme="minorEastAsia" w:eastAsiaTheme="minorEastAsia"/>
          <w:sz w:val="24"/>
          <w:szCs w:val="24"/>
        </w:rPr>
      </w:pPr>
      <w:r>
        <w:rPr>
          <w:rFonts w:hint="eastAsia" w:asciiTheme="minorEastAsia" w:hAnsiTheme="minorEastAsia" w:eastAsiaTheme="minorEastAsia"/>
          <w:sz w:val="24"/>
          <w:szCs w:val="24"/>
        </w:rPr>
        <w:t>头枕5个</w:t>
      </w:r>
    </w:p>
    <w:p w14:paraId="22FB7527">
      <w:pPr>
        <w:pStyle w:val="10"/>
        <w:tabs>
          <w:tab w:val="left" w:pos="142"/>
          <w:tab w:val="left" w:pos="420"/>
        </w:tabs>
        <w:spacing w:line="440" w:lineRule="exact"/>
        <w:ind w:firstLine="0" w:firstLineChars="0"/>
        <w:rPr>
          <w:rFonts w:asciiTheme="minorEastAsia" w:hAnsiTheme="minorEastAsia" w:eastAsiaTheme="minorEastAsia"/>
          <w:b/>
          <w:bCs/>
          <w:sz w:val="24"/>
          <w:szCs w:val="24"/>
        </w:rPr>
      </w:pPr>
    </w:p>
    <w:p w14:paraId="4D6B26B9">
      <w:pP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商务要求</w:t>
      </w:r>
    </w:p>
    <w:p w14:paraId="42DCBF2B">
      <w:pPr>
        <w:widowControl/>
        <w:spacing w:line="360" w:lineRule="auto"/>
        <w:ind w:firstLine="501" w:firstLineChars="20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本项目为交钥匙项目，合同总价包括全部产品价格【含免费与本院相关信息系统（PACS、HIS、LIS等）对接费用，及设备软件调试、升级、改造、运维、计量检测等费用】、无缝结合、备品备</w:t>
      </w:r>
      <w:bookmarkStart w:id="3" w:name="_GoBack"/>
      <w:bookmarkEnd w:id="3"/>
      <w:r>
        <w:rPr>
          <w:rFonts w:hint="eastAsia" w:ascii="宋体" w:hAnsi="宋体" w:eastAsia="宋体" w:cs="宋体"/>
          <w:kern w:val="2"/>
          <w:sz w:val="24"/>
          <w:szCs w:val="24"/>
          <w:lang w:val="en-US" w:eastAsia="zh-CN" w:bidi="ar-SA"/>
        </w:rPr>
        <w:t>件、专用工具、包装、运输、装卸、保险、税金、货到位以及原有旧设备的拆除、安装、安装所需辅材、医院装修未尽事项、调试、检验、售后服务、培训、保修等，直至验收合格交付及质保期间所发生的所有费用。</w:t>
      </w:r>
    </w:p>
    <w:p w14:paraId="3D073A86">
      <w:pPr>
        <w:widowControl/>
        <w:spacing w:line="360" w:lineRule="auto"/>
        <w:ind w:firstLine="264" w:firstLineChars="11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1、按国家有关产品三包规定执行“三包”，质保期：整机质保期不少于五年，质保期内故障时间顺延质保期。</w:t>
      </w:r>
    </w:p>
    <w:p w14:paraId="6A3E6BCC">
      <w:pPr>
        <w:widowControl/>
        <w:spacing w:line="360" w:lineRule="auto"/>
        <w:ind w:firstLine="264" w:firstLineChars="11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2、在使用过程中若产品发生质量问题或故障，在接到采购人通知后1个小时内响应，8小时内到达故障现场处理，一般故障处理时限不超过24小时修复，同时必须提供同档次的备用机给采购人使用。 </w:t>
      </w:r>
    </w:p>
    <w:p w14:paraId="589EF4E2">
      <w:pPr>
        <w:widowControl/>
        <w:spacing w:line="360" w:lineRule="auto"/>
        <w:ind w:firstLine="264" w:firstLineChars="11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3、定期免费上门维护检查设备运行情况，每年至少2次。</w:t>
      </w:r>
    </w:p>
    <w:p w14:paraId="3B6BB700">
      <w:pPr>
        <w:widowControl/>
        <w:spacing w:line="360" w:lineRule="auto"/>
        <w:ind w:firstLine="264" w:firstLineChars="11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需提供不少于8小时的系统化操作培训，可根据临床科室实际情况分次完成但总时长不得低于8小时，培训内容应包括设备及配套器械的基本原理、安装与拆卸流程、操作规范、日常维护保养、常见故障识别及应急处理等。</w:t>
      </w:r>
    </w:p>
    <w:p w14:paraId="2D31F8FE">
      <w:pPr>
        <w:widowControl/>
        <w:spacing w:line="360" w:lineRule="auto"/>
        <w:ind w:firstLine="23"/>
        <w:rPr>
          <w:rFonts w:hint="eastAsia" w:ascii="宋体" w:hAnsi="宋体" w:eastAsia="宋体" w:cs="宋体"/>
          <w:kern w:val="2"/>
          <w:sz w:val="24"/>
          <w:szCs w:val="24"/>
          <w:lang w:val="en-US" w:eastAsia="zh-CN" w:bidi="ar-SA"/>
        </w:rPr>
      </w:pPr>
    </w:p>
    <w:p w14:paraId="58483AA3">
      <w:pPr>
        <w:jc w:val="both"/>
        <w:rPr>
          <w:rFonts w:hint="eastAsia" w:ascii="宋体" w:hAnsi="宋体" w:eastAsia="宋体" w:cs="宋体"/>
          <w:color w:val="000000"/>
          <w:kern w:val="0"/>
          <w:sz w:val="24"/>
          <w:szCs w:val="24"/>
          <w:lang w:val="en-US" w:eastAsia="zh-CN"/>
        </w:rPr>
      </w:pPr>
    </w:p>
    <w:p w14:paraId="60AE64B7">
      <w:pPr>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付款方式</w:t>
      </w:r>
    </w:p>
    <w:p w14:paraId="786A0123">
      <w:pPr>
        <w:widowControl/>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（1）预付款：签订本合同且中标人开具正规合法发票，采购人在收到正规合法发票后10个工作日内，向中标人支付合同总金额的30%作为预付款。</w:t>
      </w:r>
    </w:p>
    <w:p w14:paraId="2504EE9A">
      <w:pPr>
        <w:widowControl/>
        <w:spacing w:line="360" w:lineRule="auto"/>
        <w:ind w:firstLine="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（2）验收款：设备验收合格后，中标人开具合同最终总金额的正规合法发票后22个工作日内，采购人向中标人指定账户支付70%合同总金额（付至合同总金额的100%）。</w:t>
      </w:r>
    </w:p>
    <w:p w14:paraId="72610F15">
      <w:pPr>
        <w:widowControl/>
        <w:spacing w:line="360" w:lineRule="auto"/>
        <w:ind w:firstLine="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（3）项目使用财政资金支付时，以财政实际拨付该项目资金时间为付款时间，中标人确认同意采购人不承担财政拨付延迟的相关责任。</w:t>
      </w:r>
    </w:p>
    <w:p w14:paraId="6FC2212F">
      <w:pPr>
        <w:widowControl/>
        <w:spacing w:line="360" w:lineRule="auto"/>
        <w:ind w:firstLine="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（4）上述每笔款项支付前，中标人须按采购人财务支付规定提前向采购人开具正规合法发票。</w:t>
      </w:r>
    </w:p>
    <w:p w14:paraId="57DAB37D">
      <w:pPr>
        <w:widowControl/>
        <w:spacing w:line="360" w:lineRule="auto"/>
        <w:ind w:firstLine="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（6）本合同执行中相关的一切税费均由中标人负担。</w:t>
      </w:r>
    </w:p>
    <w:p w14:paraId="2869280C">
      <w:pPr>
        <w:widowControl/>
        <w:spacing w:line="360" w:lineRule="auto"/>
        <w:ind w:firstLine="23"/>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（7）资金支付方式：银行转账。</w:t>
      </w:r>
    </w:p>
    <w:p w14:paraId="2D6B7F1B">
      <w:pPr>
        <w:jc w:val="both"/>
        <w:rPr>
          <w:rFonts w:asciiTheme="minorEastAsia" w:hAnsiTheme="minorEastAsia" w:eastAsiaTheme="minorEastAsia"/>
          <w:sz w:val="24"/>
          <w:szCs w:val="24"/>
        </w:rPr>
      </w:pPr>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DF9FE">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48DF0">
    <w:pPr>
      <w:pStyle w:val="3"/>
    </w:pPr>
    <w:r>
      <w:pict>
        <v:shape id="PowerPlusWaterMarkObject542213" o:spid="_x0000_s1026" o:spt="136" type="#_x0000_t136" style="position:absolute;left:0pt;height:39pt;width:546.4pt;mso-position-horizontal:center;mso-position-horizontal-relative:margin;mso-position-vertical:center;mso-position-vertical-relative:margin;rotation:20643840f;z-index:-251656192;mso-width-relative:page;mso-height-relative:page;" fillcolor="#A5A5A5" filled="t" stroked="f" coordsize="21600,21600" o:allowincell="f">
          <v:path/>
          <v:fill on="t" opacity="32768f" focussize="0,0"/>
          <v:stroke on="f"/>
          <v:imagedata o:title=""/>
          <o:lock v:ext="edit"/>
          <v:textpath on="t" fitshape="t" fitpath="t" trim="f" xscale="f" string="仅供空军第四研究所招投标使用"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C8A0">
    <w:pPr>
      <w:pStyle w:val="3"/>
    </w:pPr>
    <w:r>
      <w:pict>
        <v:shape id="PowerPlusWaterMarkObject542212" o:spid="_x0000_s1025" o:spt="136" type="#_x0000_t136" style="position:absolute;left:0pt;height:39pt;width:546.4pt;mso-position-horizontal:center;mso-position-horizontal-relative:margin;mso-position-vertical:center;mso-position-vertical-relative:margin;rotation:20643840f;z-index:-251657216;mso-width-relative:page;mso-height-relative:page;" fillcolor="#A5A5A5" filled="t" stroked="f" coordsize="21600,21600" o:allowincell="f">
          <v:path/>
          <v:fill on="t" opacity="32768f" focussize="0,0"/>
          <v:stroke on="f"/>
          <v:imagedata o:title=""/>
          <o:lock v:ext="edit"/>
          <v:textpath on="t" fitshape="t" fitpath="t" trim="f" xscale="f" string="仅供空军第四研究所招投标使用"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858B0"/>
    <w:multiLevelType w:val="multilevel"/>
    <w:tmpl w:val="2FC858B0"/>
    <w:lvl w:ilvl="0" w:tentative="0">
      <w:start w:val="1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7A010DF"/>
    <w:multiLevelType w:val="multilevel"/>
    <w:tmpl w:val="77A010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E6D"/>
    <w:rsid w:val="000016ED"/>
    <w:rsid w:val="00027CFD"/>
    <w:rsid w:val="00052344"/>
    <w:rsid w:val="00082669"/>
    <w:rsid w:val="000A3868"/>
    <w:rsid w:val="000B7E69"/>
    <w:rsid w:val="000D20F9"/>
    <w:rsid w:val="000D4242"/>
    <w:rsid w:val="000D52E1"/>
    <w:rsid w:val="000F3E2D"/>
    <w:rsid w:val="00125AF0"/>
    <w:rsid w:val="00134390"/>
    <w:rsid w:val="001366B2"/>
    <w:rsid w:val="00142019"/>
    <w:rsid w:val="001539A9"/>
    <w:rsid w:val="00170254"/>
    <w:rsid w:val="00174CCB"/>
    <w:rsid w:val="001812B4"/>
    <w:rsid w:val="00193709"/>
    <w:rsid w:val="001A258E"/>
    <w:rsid w:val="001A4DE7"/>
    <w:rsid w:val="001B5AED"/>
    <w:rsid w:val="001C1D6D"/>
    <w:rsid w:val="001D3F7F"/>
    <w:rsid w:val="001F1F84"/>
    <w:rsid w:val="00200B77"/>
    <w:rsid w:val="00200C3E"/>
    <w:rsid w:val="002037BE"/>
    <w:rsid w:val="00205E3D"/>
    <w:rsid w:val="00222305"/>
    <w:rsid w:val="002352CC"/>
    <w:rsid w:val="00243E9B"/>
    <w:rsid w:val="002472BA"/>
    <w:rsid w:val="00281D2F"/>
    <w:rsid w:val="002841A4"/>
    <w:rsid w:val="00295837"/>
    <w:rsid w:val="002B2DB0"/>
    <w:rsid w:val="002C3536"/>
    <w:rsid w:val="002C527D"/>
    <w:rsid w:val="002D06B9"/>
    <w:rsid w:val="002D3EAC"/>
    <w:rsid w:val="002E141B"/>
    <w:rsid w:val="002E548B"/>
    <w:rsid w:val="002F1CBF"/>
    <w:rsid w:val="00313E09"/>
    <w:rsid w:val="00354D78"/>
    <w:rsid w:val="003632C7"/>
    <w:rsid w:val="00366ED5"/>
    <w:rsid w:val="0037798C"/>
    <w:rsid w:val="003854C0"/>
    <w:rsid w:val="003A07AE"/>
    <w:rsid w:val="003B2EBC"/>
    <w:rsid w:val="003D1FB7"/>
    <w:rsid w:val="00435AC0"/>
    <w:rsid w:val="00437D01"/>
    <w:rsid w:val="00444207"/>
    <w:rsid w:val="00444FAB"/>
    <w:rsid w:val="00451160"/>
    <w:rsid w:val="00457811"/>
    <w:rsid w:val="00476239"/>
    <w:rsid w:val="0049493A"/>
    <w:rsid w:val="004A08F2"/>
    <w:rsid w:val="004A0DA8"/>
    <w:rsid w:val="004A3313"/>
    <w:rsid w:val="004B68FC"/>
    <w:rsid w:val="004D0365"/>
    <w:rsid w:val="004F4AE3"/>
    <w:rsid w:val="005028EA"/>
    <w:rsid w:val="00537938"/>
    <w:rsid w:val="00551629"/>
    <w:rsid w:val="00563BAD"/>
    <w:rsid w:val="00567ED6"/>
    <w:rsid w:val="00572C22"/>
    <w:rsid w:val="00597521"/>
    <w:rsid w:val="005A42B0"/>
    <w:rsid w:val="005A4710"/>
    <w:rsid w:val="005E4C42"/>
    <w:rsid w:val="006145A8"/>
    <w:rsid w:val="00616D98"/>
    <w:rsid w:val="006260E1"/>
    <w:rsid w:val="00626502"/>
    <w:rsid w:val="006311A2"/>
    <w:rsid w:val="00631613"/>
    <w:rsid w:val="00637632"/>
    <w:rsid w:val="0064137F"/>
    <w:rsid w:val="00647A79"/>
    <w:rsid w:val="00663F9C"/>
    <w:rsid w:val="00665487"/>
    <w:rsid w:val="00683FCF"/>
    <w:rsid w:val="006961CC"/>
    <w:rsid w:val="006C02B5"/>
    <w:rsid w:val="006C42A5"/>
    <w:rsid w:val="006C59F8"/>
    <w:rsid w:val="006D365B"/>
    <w:rsid w:val="006E4F3B"/>
    <w:rsid w:val="006E7ECD"/>
    <w:rsid w:val="006F4293"/>
    <w:rsid w:val="00723DF7"/>
    <w:rsid w:val="0073439B"/>
    <w:rsid w:val="00763C4C"/>
    <w:rsid w:val="00767B53"/>
    <w:rsid w:val="00771263"/>
    <w:rsid w:val="007A1DB2"/>
    <w:rsid w:val="007A2D9B"/>
    <w:rsid w:val="007A712D"/>
    <w:rsid w:val="007B0190"/>
    <w:rsid w:val="008008C3"/>
    <w:rsid w:val="00803FE3"/>
    <w:rsid w:val="00805F82"/>
    <w:rsid w:val="008126DB"/>
    <w:rsid w:val="00826F0D"/>
    <w:rsid w:val="00832525"/>
    <w:rsid w:val="008473F4"/>
    <w:rsid w:val="00881EF3"/>
    <w:rsid w:val="00881FED"/>
    <w:rsid w:val="00893B67"/>
    <w:rsid w:val="008B0C71"/>
    <w:rsid w:val="008C44D9"/>
    <w:rsid w:val="008C6031"/>
    <w:rsid w:val="008E4BD9"/>
    <w:rsid w:val="00904F29"/>
    <w:rsid w:val="00906960"/>
    <w:rsid w:val="0091025E"/>
    <w:rsid w:val="00921564"/>
    <w:rsid w:val="00921C66"/>
    <w:rsid w:val="009418C7"/>
    <w:rsid w:val="009479E1"/>
    <w:rsid w:val="00962C3D"/>
    <w:rsid w:val="00974647"/>
    <w:rsid w:val="00994F49"/>
    <w:rsid w:val="009C2B74"/>
    <w:rsid w:val="009C3300"/>
    <w:rsid w:val="009C79DE"/>
    <w:rsid w:val="009E0C83"/>
    <w:rsid w:val="009E3682"/>
    <w:rsid w:val="009F52B2"/>
    <w:rsid w:val="009F6882"/>
    <w:rsid w:val="00A13EEB"/>
    <w:rsid w:val="00A23DEC"/>
    <w:rsid w:val="00A2680E"/>
    <w:rsid w:val="00A340A2"/>
    <w:rsid w:val="00A52C17"/>
    <w:rsid w:val="00A52C26"/>
    <w:rsid w:val="00A71AF6"/>
    <w:rsid w:val="00A71CDB"/>
    <w:rsid w:val="00A73E84"/>
    <w:rsid w:val="00A76502"/>
    <w:rsid w:val="00A854B1"/>
    <w:rsid w:val="00AA2E92"/>
    <w:rsid w:val="00AA374B"/>
    <w:rsid w:val="00AD0CD5"/>
    <w:rsid w:val="00B00430"/>
    <w:rsid w:val="00B00F8F"/>
    <w:rsid w:val="00B0125D"/>
    <w:rsid w:val="00B27DD9"/>
    <w:rsid w:val="00B448AD"/>
    <w:rsid w:val="00B572C2"/>
    <w:rsid w:val="00B648FC"/>
    <w:rsid w:val="00B8543F"/>
    <w:rsid w:val="00BA0121"/>
    <w:rsid w:val="00BA2312"/>
    <w:rsid w:val="00BA3745"/>
    <w:rsid w:val="00BA75B8"/>
    <w:rsid w:val="00BB0EBD"/>
    <w:rsid w:val="00BB51BA"/>
    <w:rsid w:val="00BC795C"/>
    <w:rsid w:val="00BE4CB8"/>
    <w:rsid w:val="00BF23DB"/>
    <w:rsid w:val="00C02B35"/>
    <w:rsid w:val="00C070FE"/>
    <w:rsid w:val="00C2113C"/>
    <w:rsid w:val="00C235D6"/>
    <w:rsid w:val="00C244A2"/>
    <w:rsid w:val="00C700C2"/>
    <w:rsid w:val="00C85B6F"/>
    <w:rsid w:val="00C9088E"/>
    <w:rsid w:val="00C91FA6"/>
    <w:rsid w:val="00CA6296"/>
    <w:rsid w:val="00CC1F2C"/>
    <w:rsid w:val="00CE2894"/>
    <w:rsid w:val="00D02237"/>
    <w:rsid w:val="00D149B1"/>
    <w:rsid w:val="00D20D31"/>
    <w:rsid w:val="00D35531"/>
    <w:rsid w:val="00D41EFF"/>
    <w:rsid w:val="00D63D6E"/>
    <w:rsid w:val="00D82ED3"/>
    <w:rsid w:val="00DB34D1"/>
    <w:rsid w:val="00DB6016"/>
    <w:rsid w:val="00E01F88"/>
    <w:rsid w:val="00E326FE"/>
    <w:rsid w:val="00E55141"/>
    <w:rsid w:val="00E66FE4"/>
    <w:rsid w:val="00E93E6D"/>
    <w:rsid w:val="00E971DB"/>
    <w:rsid w:val="00EB596C"/>
    <w:rsid w:val="00F05886"/>
    <w:rsid w:val="00F30EE7"/>
    <w:rsid w:val="00F32F9E"/>
    <w:rsid w:val="00F50F95"/>
    <w:rsid w:val="00F522A8"/>
    <w:rsid w:val="00F63589"/>
    <w:rsid w:val="00F6623B"/>
    <w:rsid w:val="00F74C5F"/>
    <w:rsid w:val="00F936EA"/>
    <w:rsid w:val="00F94E59"/>
    <w:rsid w:val="00FA214E"/>
    <w:rsid w:val="00FC00AB"/>
    <w:rsid w:val="00FD4D3B"/>
    <w:rsid w:val="00FD6FA9"/>
    <w:rsid w:val="00FF5B7F"/>
    <w:rsid w:val="01C0437F"/>
    <w:rsid w:val="06780E40"/>
    <w:rsid w:val="0C0413AA"/>
    <w:rsid w:val="0CA86BBF"/>
    <w:rsid w:val="15DF1929"/>
    <w:rsid w:val="1AAA629F"/>
    <w:rsid w:val="1BF8447F"/>
    <w:rsid w:val="1CCB4FC1"/>
    <w:rsid w:val="1D5B4436"/>
    <w:rsid w:val="22593F11"/>
    <w:rsid w:val="256D7EDB"/>
    <w:rsid w:val="28AC2DD8"/>
    <w:rsid w:val="28E97797"/>
    <w:rsid w:val="293924D6"/>
    <w:rsid w:val="2BEB5AD3"/>
    <w:rsid w:val="2ED25741"/>
    <w:rsid w:val="30003A4C"/>
    <w:rsid w:val="309E5F1F"/>
    <w:rsid w:val="36BA7C1A"/>
    <w:rsid w:val="383D44E0"/>
    <w:rsid w:val="3D1B6CF4"/>
    <w:rsid w:val="3E217B50"/>
    <w:rsid w:val="3F226657"/>
    <w:rsid w:val="3FBE3331"/>
    <w:rsid w:val="40BA2F3C"/>
    <w:rsid w:val="40D45ACE"/>
    <w:rsid w:val="449431BD"/>
    <w:rsid w:val="449762C7"/>
    <w:rsid w:val="485B55CA"/>
    <w:rsid w:val="4B062719"/>
    <w:rsid w:val="4B0976D0"/>
    <w:rsid w:val="4DBD590D"/>
    <w:rsid w:val="4DC545B9"/>
    <w:rsid w:val="50C07062"/>
    <w:rsid w:val="543C3DD0"/>
    <w:rsid w:val="57CC36EC"/>
    <w:rsid w:val="5AB87F28"/>
    <w:rsid w:val="5B5A2465"/>
    <w:rsid w:val="5C693288"/>
    <w:rsid w:val="5D6575BF"/>
    <w:rsid w:val="5E886CDE"/>
    <w:rsid w:val="5F7E60E8"/>
    <w:rsid w:val="639F511C"/>
    <w:rsid w:val="64CD0983"/>
    <w:rsid w:val="66392EF4"/>
    <w:rsid w:val="666F5200"/>
    <w:rsid w:val="6B3A23B7"/>
    <w:rsid w:val="6B712B27"/>
    <w:rsid w:val="6FFB5392"/>
    <w:rsid w:val="700B6D53"/>
    <w:rsid w:val="71532A49"/>
    <w:rsid w:val="71CE7C83"/>
    <w:rsid w:val="7357586A"/>
    <w:rsid w:val="75EC098E"/>
    <w:rsid w:val="789A258F"/>
    <w:rsid w:val="7D933A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 w:type="paragraph" w:customStyle="1" w:styleId="8">
    <w:name w:val="列出段落1"/>
    <w:basedOn w:val="1"/>
    <w:qFormat/>
    <w:uiPriority w:val="34"/>
    <w:pPr>
      <w:ind w:firstLine="420" w:firstLineChars="200"/>
    </w:pPr>
    <w:rPr>
      <w:sz w:val="28"/>
      <w:szCs w:val="28"/>
    </w:rPr>
  </w:style>
  <w:style w:type="paragraph" w:customStyle="1" w:styleId="9">
    <w:name w:val="列出段落2"/>
    <w:basedOn w:val="1"/>
    <w:qFormat/>
    <w:uiPriority w:val="34"/>
    <w:pPr>
      <w:ind w:firstLine="420" w:firstLineChars="200"/>
    </w:pPr>
    <w:rPr>
      <w:sz w:val="28"/>
      <w:szCs w:val="2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SRM</Company>
  <Pages>4</Pages>
  <Words>1136</Words>
  <Characters>1239</Characters>
  <Lines>9</Lines>
  <Paragraphs>2</Paragraphs>
  <TotalTime>0</TotalTime>
  <ScaleCrop>false</ScaleCrop>
  <LinksUpToDate>false</LinksUpToDate>
  <CharactersWithSpaces>1266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2022-11-24T02:42:00Z</dcterms:created>
  <dc:creator>YaoBaiyun</dc:creator>
  <cp:lastModifiedBy>尧</cp:lastModifiedBy>
  <dcterms:modified xsi:type="dcterms:W3CDTF">2026-08-20T07:53:45Z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3133378801B143B9BDD93C848C9DC5D7</vt:lpwstr>
  </property>
  <property fmtid="{D5CDD505-2E9C-101B-9397-08002B2CF9AE}" pid="4" name="KSOTemplateDocerSaveRecord">
    <vt:lpwstr>eyJoZGlkIjoiNjk3YzhkMDIyYTVhMTE4NWU0MzExM2UxY2QxOTE2ZmUiLCJ1c2VySWQiOiIzMTQ0NjA5NjcifQ==</vt:lpwstr>
  </property>
</Properties>
</file>